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bCs/>
          <w:sz w:val="32"/>
          <w:szCs w:val="32"/>
        </w:rPr>
      </w:pPr>
      <w:r>
        <w:rPr>
          <w:b/>
          <w:bCs/>
          <w:sz w:val="32"/>
          <w:szCs w:val="32"/>
        </w:rPr>
        <w:t xml:space="preserve">Compte rendu</w:t>
      </w:r>
      <w:r>
        <w:rPr>
          <w:b/>
          <w:bCs/>
          <w:sz w:val="32"/>
          <w:szCs w:val="32"/>
        </w:rPr>
        <w:t xml:space="preserve"> de </w:t>
      </w:r>
      <w:r>
        <w:rPr>
          <w:b/>
          <w:bCs/>
          <w:sz w:val="32"/>
          <w:szCs w:val="32"/>
        </w:rPr>
        <w:t xml:space="preserve">réunion </w:t>
      </w:r>
      <w:r>
        <w:rPr>
          <w:b/>
          <w:bCs/>
          <w:sz w:val="32"/>
          <w:szCs w:val="32"/>
        </w:rPr>
        <w:t xml:space="preserve">du groupe de </w:t>
      </w:r>
      <w:r>
        <w:rPr>
          <w:b/>
          <w:bCs/>
          <w:sz w:val="32"/>
          <w:szCs w:val="32"/>
        </w:rPr>
        <w:t xml:space="preserve">Biosécurité</w:t>
      </w:r>
      <w:r>
        <w:rPr>
          <w:b/>
          <w:bCs/>
          <w:sz w:val="32"/>
          <w:szCs w:val="32"/>
        </w:rPr>
        <w:t xml:space="preserve"> </w:t>
      </w:r>
      <w:r/>
    </w:p>
    <w:p>
      <w:pPr>
        <w:jc w:val="center"/>
        <w:rPr>
          <w:b/>
          <w:bCs/>
          <w:sz w:val="32"/>
          <w:szCs w:val="32"/>
        </w:rPr>
      </w:pPr>
      <w:r>
        <w:rPr>
          <w:b/>
          <w:bCs/>
          <w:sz w:val="32"/>
          <w:szCs w:val="32"/>
        </w:rPr>
        <w:t xml:space="preserve">de l’Association Française de </w:t>
      </w:r>
      <w:r>
        <w:rPr>
          <w:b/>
          <w:bCs/>
          <w:sz w:val="32"/>
          <w:szCs w:val="32"/>
        </w:rPr>
        <w:t xml:space="preserve">Cytométrie</w:t>
      </w:r>
      <w:r>
        <w:rPr>
          <w:b/>
          <w:bCs/>
          <w:sz w:val="32"/>
          <w:szCs w:val="32"/>
        </w:rPr>
        <w:t xml:space="preserve"> </w:t>
      </w:r>
      <w:r/>
    </w:p>
    <w:p>
      <w:pPr>
        <w:jc w:val="center"/>
        <w:rPr>
          <w:b/>
          <w:bCs/>
          <w:sz w:val="32"/>
          <w:szCs w:val="32"/>
        </w:rPr>
      </w:pPr>
      <w:r>
        <w:rPr>
          <w:b/>
          <w:bCs/>
          <w:sz w:val="32"/>
          <w:szCs w:val="32"/>
        </w:rPr>
        <w:t xml:space="preserve">16 Novembre 2021</w:t>
      </w:r>
      <w:r/>
    </w:p>
    <w:p>
      <w:pPr>
        <w:jc w:val="center"/>
      </w:pPr>
      <w:r/>
      <w:r/>
    </w:p>
    <w:p>
      <w:pPr>
        <w:jc w:val="both"/>
        <w:rPr>
          <w:sz w:val="20"/>
          <w:szCs w:val="20"/>
        </w:rPr>
      </w:pPr>
      <w:r>
        <w:rPr>
          <w:sz w:val="20"/>
          <w:szCs w:val="20"/>
          <w:u w:val="single"/>
        </w:rPr>
        <w:t xml:space="preserve">Présents </w:t>
      </w:r>
      <w:r>
        <w:rPr>
          <w:sz w:val="20"/>
          <w:szCs w:val="20"/>
          <w:u w:val="single"/>
        </w:rPr>
        <w:t xml:space="preserve">– Visioconférence</w:t>
      </w:r>
      <w:r>
        <w:rPr>
          <w:sz w:val="20"/>
          <w:szCs w:val="20"/>
        </w:rPr>
        <w:t xml:space="preserve"> </w:t>
      </w:r>
      <w:r>
        <w:rPr>
          <w:sz w:val="20"/>
          <w:szCs w:val="20"/>
        </w:rPr>
        <w:t xml:space="preserve">: Muriel Andrieu, </w:t>
      </w:r>
      <w:r>
        <w:rPr>
          <w:sz w:val="20"/>
          <w:szCs w:val="20"/>
        </w:rPr>
        <w:t xml:space="preserve">Catherine Blanc</w:t>
      </w:r>
      <w:r>
        <w:rPr>
          <w:sz w:val="20"/>
          <w:szCs w:val="20"/>
        </w:rPr>
        <w:t xml:space="preserve">,</w:t>
      </w:r>
      <w:r>
        <w:rPr>
          <w:sz w:val="20"/>
          <w:szCs w:val="20"/>
        </w:rPr>
        <w:t xml:space="preserve"> </w:t>
      </w:r>
      <w:r>
        <w:rPr>
          <w:sz w:val="20"/>
          <w:szCs w:val="20"/>
        </w:rPr>
        <w:t xml:space="preserve">Julie </w:t>
      </w:r>
      <w:r>
        <w:rPr>
          <w:sz w:val="20"/>
          <w:szCs w:val="20"/>
        </w:rPr>
        <w:t xml:space="preserve">Cazareth</w:t>
      </w:r>
      <w:r>
        <w:rPr>
          <w:sz w:val="20"/>
          <w:szCs w:val="20"/>
        </w:rPr>
        <w:t xml:space="preserve">,</w:t>
      </w:r>
      <w:r>
        <w:rPr>
          <w:sz w:val="20"/>
          <w:szCs w:val="20"/>
        </w:rPr>
        <w:t xml:space="preserve"> </w:t>
      </w:r>
      <w:r>
        <w:rPr>
          <w:sz w:val="20"/>
          <w:szCs w:val="20"/>
        </w:rPr>
        <w:t xml:space="preserve">Myriam Boyer</w:t>
      </w:r>
      <w:r>
        <w:rPr>
          <w:sz w:val="20"/>
          <w:szCs w:val="20"/>
        </w:rPr>
        <w:t xml:space="preserve">,</w:t>
      </w:r>
      <w:r>
        <w:rPr>
          <w:sz w:val="20"/>
          <w:szCs w:val="20"/>
        </w:rPr>
        <w:t xml:space="preserve"> </w:t>
      </w:r>
      <w:r>
        <w:rPr>
          <w:sz w:val="20"/>
          <w:szCs w:val="20"/>
        </w:rPr>
        <w:t xml:space="preserve">Corinne Cordier</w:t>
      </w:r>
      <w:r>
        <w:rPr>
          <w:sz w:val="20"/>
          <w:szCs w:val="20"/>
        </w:rPr>
        <w:t xml:space="preserve">,</w:t>
      </w:r>
      <w:r>
        <w:rPr>
          <w:sz w:val="20"/>
          <w:szCs w:val="20"/>
        </w:rPr>
        <w:t xml:space="preserve"> </w:t>
      </w:r>
      <w:r>
        <w:rPr>
          <w:sz w:val="20"/>
          <w:szCs w:val="20"/>
        </w:rPr>
        <w:t xml:space="preserve">Emmanuelle </w:t>
      </w:r>
      <w:r>
        <w:rPr>
          <w:sz w:val="20"/>
          <w:szCs w:val="20"/>
        </w:rPr>
        <w:t xml:space="preserve">Naser</w:t>
      </w:r>
      <w:r>
        <w:rPr>
          <w:sz w:val="20"/>
          <w:szCs w:val="20"/>
        </w:rPr>
        <w:t xml:space="preserve">,</w:t>
      </w:r>
      <w:r>
        <w:rPr>
          <w:sz w:val="20"/>
          <w:szCs w:val="20"/>
        </w:rPr>
        <w:t xml:space="preserve"> </w:t>
      </w:r>
      <w:r>
        <w:rPr>
          <w:sz w:val="20"/>
          <w:szCs w:val="20"/>
        </w:rPr>
        <w:t xml:space="preserve">Mylène </w:t>
      </w:r>
      <w:r>
        <w:rPr>
          <w:sz w:val="20"/>
          <w:szCs w:val="20"/>
        </w:rPr>
        <w:t xml:space="preserve">Pezet, </w:t>
      </w:r>
      <w:r>
        <w:rPr>
          <w:sz w:val="20"/>
          <w:szCs w:val="20"/>
        </w:rPr>
        <w:t xml:space="preserve">Florent </w:t>
      </w:r>
      <w:r>
        <w:rPr>
          <w:sz w:val="20"/>
          <w:szCs w:val="20"/>
        </w:rPr>
        <w:t xml:space="preserve">Raffin</w:t>
      </w:r>
      <w:r>
        <w:rPr>
          <w:sz w:val="20"/>
          <w:szCs w:val="20"/>
        </w:rPr>
        <w:t xml:space="preserve">, Peggy </w:t>
      </w:r>
      <w:r>
        <w:rPr>
          <w:sz w:val="20"/>
          <w:szCs w:val="20"/>
        </w:rPr>
        <w:t xml:space="preserve">Sanatine</w:t>
      </w:r>
      <w:r>
        <w:rPr>
          <w:sz w:val="20"/>
          <w:szCs w:val="20"/>
        </w:rPr>
        <w:t xml:space="preserve">.</w:t>
      </w:r>
      <w:r/>
    </w:p>
    <w:p>
      <w:pPr>
        <w:jc w:val="both"/>
        <w:rPr>
          <w:sz w:val="20"/>
          <w:szCs w:val="20"/>
          <w:u w:val="single"/>
        </w:rPr>
      </w:pPr>
      <w:r>
        <w:rPr>
          <w:sz w:val="20"/>
          <w:szCs w:val="20"/>
          <w:u w:val="single"/>
        </w:rPr>
      </w:r>
      <w:r/>
    </w:p>
    <w:p>
      <w:pPr>
        <w:jc w:val="both"/>
        <w:rPr>
          <w:sz w:val="20"/>
          <w:szCs w:val="20"/>
        </w:rPr>
      </w:pPr>
      <w:r>
        <w:rPr>
          <w:sz w:val="20"/>
          <w:szCs w:val="20"/>
          <w:u w:val="single"/>
        </w:rPr>
        <w:t xml:space="preserve">Excusés</w:t>
      </w:r>
      <w:r>
        <w:rPr>
          <w:sz w:val="20"/>
          <w:szCs w:val="20"/>
        </w:rPr>
        <w:t xml:space="preserve"> : Annie Munier, Sandrine </w:t>
      </w:r>
      <w:r>
        <w:rPr>
          <w:sz w:val="20"/>
          <w:szCs w:val="20"/>
        </w:rPr>
        <w:t xml:space="preserve">Alfenore</w:t>
      </w:r>
      <w:r/>
    </w:p>
    <w:p>
      <w:pPr>
        <w:jc w:val="both"/>
        <w:rPr>
          <w:sz w:val="20"/>
          <w:szCs w:val="20"/>
        </w:rPr>
      </w:pPr>
      <w:r>
        <w:rPr>
          <w:sz w:val="20"/>
          <w:szCs w:val="20"/>
          <w:u w:val="single"/>
        </w:rPr>
        <w:t xml:space="preserve">Secrétaire de réunion</w:t>
      </w:r>
      <w:r>
        <w:rPr>
          <w:sz w:val="20"/>
          <w:szCs w:val="20"/>
        </w:rPr>
        <w:t xml:space="preserve"> : Mylène Pezet</w:t>
      </w:r>
      <w:r/>
    </w:p>
    <w:p>
      <w:pPr>
        <w:jc w:val="both"/>
        <w:spacing w:after="100" w:afterAutospacing="1" w:before="100" w:beforeAutospacing="1"/>
        <w:rPr>
          <w:rFonts w:ascii="Calibri" w:hAnsi="Calibri" w:cs="Calibri" w:eastAsia="Times New Roman"/>
          <w:color w:val="000000"/>
          <w:sz w:val="20"/>
          <w:szCs w:val="20"/>
          <w:u w:val="single"/>
          <w:lang w:eastAsia="fr-FR"/>
        </w:rPr>
      </w:pPr>
      <w:r>
        <w:rPr>
          <w:rFonts w:ascii="Calibri" w:hAnsi="Calibri" w:cs="Calibri" w:eastAsia="Times New Roman"/>
          <w:color w:val="000000"/>
          <w:sz w:val="20"/>
          <w:szCs w:val="20"/>
          <w:u w:val="single"/>
          <w:lang w:eastAsia="fr-FR"/>
        </w:rPr>
        <w:t xml:space="preserve">Points à l’o</w:t>
      </w:r>
      <w:r>
        <w:rPr>
          <w:rFonts w:ascii="Calibri" w:hAnsi="Calibri" w:cs="Calibri" w:eastAsia="Times New Roman"/>
          <w:color w:val="000000"/>
          <w:sz w:val="20"/>
          <w:szCs w:val="20"/>
          <w:u w:val="single"/>
          <w:lang w:eastAsia="fr-FR"/>
        </w:rPr>
        <w:t xml:space="preserve">rdre du Jour :</w:t>
      </w:r>
      <w:r/>
    </w:p>
    <w:p>
      <w:pPr>
        <w:pStyle w:val="617"/>
        <w:numPr>
          <w:ilvl w:val="0"/>
          <w:numId w:val="1"/>
        </w:numPr>
        <w:jc w:val="both"/>
        <w:rPr>
          <w:sz w:val="20"/>
          <w:szCs w:val="20"/>
        </w:rPr>
      </w:pPr>
      <w:r>
        <w:rPr>
          <w:sz w:val="20"/>
          <w:szCs w:val="20"/>
        </w:rPr>
        <w:t xml:space="preserve">Résultats de l’enquête déchets</w:t>
      </w:r>
      <w:r/>
    </w:p>
    <w:p>
      <w:pPr>
        <w:pStyle w:val="617"/>
        <w:numPr>
          <w:ilvl w:val="0"/>
          <w:numId w:val="1"/>
        </w:numPr>
        <w:jc w:val="both"/>
        <w:rPr>
          <w:sz w:val="20"/>
          <w:szCs w:val="20"/>
        </w:rPr>
      </w:pPr>
      <w:r>
        <w:rPr>
          <w:sz w:val="20"/>
          <w:szCs w:val="20"/>
        </w:rPr>
        <w:t xml:space="preserve">Thématique environnement : proposition d’un nouveau questionnaire à destination des fournisseurs et utilisateurs</w:t>
      </w:r>
      <w:r/>
    </w:p>
    <w:p>
      <w:pPr>
        <w:pStyle w:val="617"/>
        <w:numPr>
          <w:ilvl w:val="0"/>
          <w:numId w:val="1"/>
        </w:numPr>
        <w:jc w:val="both"/>
        <w:rPr>
          <w:sz w:val="20"/>
          <w:szCs w:val="20"/>
        </w:rPr>
      </w:pPr>
      <w:r>
        <w:rPr>
          <w:sz w:val="20"/>
          <w:szCs w:val="20"/>
        </w:rPr>
        <w:t xml:space="preserve">Site web : Bannière du groupe biosécurité</w:t>
      </w:r>
      <w:r/>
    </w:p>
    <w:p>
      <w:pPr>
        <w:pStyle w:val="617"/>
        <w:numPr>
          <w:ilvl w:val="0"/>
          <w:numId w:val="1"/>
        </w:numPr>
        <w:jc w:val="both"/>
        <w:rPr>
          <w:sz w:val="20"/>
          <w:szCs w:val="20"/>
        </w:rPr>
      </w:pPr>
      <w:r>
        <w:rPr>
          <w:sz w:val="20"/>
          <w:szCs w:val="20"/>
        </w:rPr>
        <w:t xml:space="preserve">Divers</w:t>
      </w:r>
      <w:r/>
    </w:p>
    <w:p>
      <w:pPr>
        <w:jc w:val="both"/>
        <w:rPr>
          <w:sz w:val="20"/>
          <w:szCs w:val="20"/>
        </w:rPr>
      </w:pPr>
      <w:r>
        <w:rPr>
          <w:sz w:val="20"/>
          <w:szCs w:val="20"/>
        </w:rPr>
      </w:r>
      <w:r/>
    </w:p>
    <w:p>
      <w:pPr>
        <w:pStyle w:val="617"/>
        <w:jc w:val="both"/>
        <w:rPr>
          <w:sz w:val="20"/>
          <w:szCs w:val="20"/>
        </w:rPr>
      </w:pPr>
      <w:r>
        <w:rPr>
          <w:sz w:val="20"/>
          <w:szCs w:val="20"/>
        </w:rPr>
      </w:r>
      <w:r/>
    </w:p>
    <w:p>
      <w:pPr>
        <w:pStyle w:val="617"/>
        <w:numPr>
          <w:ilvl w:val="0"/>
          <w:numId w:val="1"/>
        </w:numPr>
        <w:jc w:val="both"/>
        <w:rPr>
          <w:u w:val="single"/>
        </w:rPr>
      </w:pPr>
      <w:r>
        <w:rPr>
          <w:rFonts w:ascii="Calibri" w:hAnsi="Calibri" w:cs="Calibri" w:eastAsia="Times New Roman"/>
          <w:color w:val="000000"/>
          <w:sz w:val="22"/>
          <w:szCs w:val="22"/>
          <w:u w:val="single"/>
          <w:lang w:eastAsia="fr-FR"/>
        </w:rPr>
        <w:t xml:space="preserve">Résultats </w:t>
      </w:r>
      <w:r>
        <w:rPr>
          <w:rFonts w:ascii="Calibri" w:hAnsi="Calibri" w:cs="Calibri" w:eastAsia="Times New Roman"/>
          <w:color w:val="000000"/>
          <w:sz w:val="22"/>
          <w:szCs w:val="22"/>
          <w:u w:val="single"/>
          <w:lang w:eastAsia="fr-FR"/>
        </w:rPr>
        <w:t xml:space="preserve">de l’</w:t>
      </w:r>
      <w:r>
        <w:rPr>
          <w:rFonts w:ascii="Calibri" w:hAnsi="Calibri" w:cs="Calibri" w:eastAsia="Times New Roman"/>
          <w:color w:val="000000"/>
          <w:sz w:val="22"/>
          <w:szCs w:val="22"/>
          <w:u w:val="single"/>
          <w:lang w:eastAsia="fr-FR"/>
        </w:rPr>
        <w:t xml:space="preserve">enquête </w:t>
      </w:r>
      <w:r>
        <w:rPr>
          <w:rFonts w:ascii="Calibri" w:hAnsi="Calibri" w:cs="Calibri" w:eastAsia="Times New Roman"/>
          <w:color w:val="000000"/>
          <w:sz w:val="22"/>
          <w:szCs w:val="22"/>
          <w:u w:val="single"/>
          <w:lang w:eastAsia="fr-FR"/>
        </w:rPr>
        <w:t xml:space="preserve">« D</w:t>
      </w:r>
      <w:r>
        <w:rPr>
          <w:rFonts w:ascii="Calibri" w:hAnsi="Calibri" w:cs="Calibri" w:eastAsia="Times New Roman"/>
          <w:color w:val="000000"/>
          <w:sz w:val="22"/>
          <w:szCs w:val="22"/>
          <w:u w:val="single"/>
          <w:lang w:eastAsia="fr-FR"/>
        </w:rPr>
        <w:t xml:space="preserve">échets</w:t>
      </w:r>
      <w:r>
        <w:rPr>
          <w:rFonts w:ascii="Calibri" w:hAnsi="Calibri" w:cs="Calibri" w:eastAsia="Times New Roman"/>
          <w:color w:val="000000"/>
          <w:sz w:val="22"/>
          <w:szCs w:val="22"/>
          <w:u w:val="single"/>
          <w:lang w:eastAsia="fr-FR"/>
        </w:rPr>
        <w:t xml:space="preserve"> »</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L’analyse des réponses a été menée par Emmanuelle qui en présente la synthèse. Il y a eu 18 répondants</w:t>
      </w:r>
      <w:r>
        <w:rPr>
          <w:rFonts w:ascii="Calibri" w:hAnsi="Calibri" w:cs="Calibri" w:eastAsia="Times New Roman"/>
          <w:color w:val="000000"/>
          <w:sz w:val="20"/>
          <w:szCs w:val="20"/>
          <w:lang w:eastAsia="fr-FR"/>
        </w:rPr>
        <w:t xml:space="preserve">, ce qui </w:t>
      </w:r>
      <w:r>
        <w:rPr>
          <w:rFonts w:ascii="Calibri" w:hAnsi="Calibri" w:cs="Calibri" w:eastAsia="Times New Roman"/>
          <w:color w:val="000000"/>
          <w:sz w:val="20"/>
          <w:szCs w:val="20"/>
          <w:lang w:eastAsia="fr-FR"/>
        </w:rPr>
        <w:t xml:space="preserve">paraît finalement peu au regard du nombre d’adhérents AFC et </w:t>
      </w:r>
      <w:r>
        <w:rPr>
          <w:rFonts w:ascii="Calibri" w:hAnsi="Calibri" w:cs="Calibri" w:eastAsia="Times New Roman"/>
          <w:color w:val="000000"/>
          <w:sz w:val="20"/>
          <w:szCs w:val="20"/>
          <w:lang w:eastAsia="fr-FR"/>
        </w:rPr>
        <w:t xml:space="preserve">de </w:t>
      </w:r>
      <w:r>
        <w:rPr>
          <w:rFonts w:ascii="Calibri" w:hAnsi="Calibri" w:cs="Calibri" w:eastAsia="Times New Roman"/>
          <w:color w:val="000000"/>
          <w:sz w:val="20"/>
          <w:szCs w:val="20"/>
          <w:lang w:eastAsia="fr-FR"/>
        </w:rPr>
        <w:t xml:space="preserve">plateformes</w:t>
      </w:r>
      <w:r>
        <w:rPr>
          <w:rFonts w:ascii="Calibri" w:hAnsi="Calibri" w:cs="Calibri" w:eastAsia="Times New Roman"/>
          <w:color w:val="000000"/>
          <w:sz w:val="20"/>
          <w:szCs w:val="20"/>
          <w:lang w:eastAsia="fr-FR"/>
        </w:rPr>
        <w:t xml:space="preserve">. La décontamination par la javel des déchets liquides est </w:t>
      </w:r>
      <w:r>
        <w:rPr>
          <w:rFonts w:ascii="Calibri" w:hAnsi="Calibri" w:cs="Calibri" w:eastAsia="Times New Roman"/>
          <w:color w:val="000000"/>
          <w:sz w:val="20"/>
          <w:szCs w:val="20"/>
          <w:lang w:eastAsia="fr-FR"/>
        </w:rPr>
        <w:t xml:space="preserve">maj</w:t>
      </w:r>
      <w:r>
        <w:rPr>
          <w:rFonts w:ascii="Calibri" w:hAnsi="Calibri" w:cs="Calibri" w:eastAsia="Times New Roman"/>
          <w:color w:val="000000"/>
          <w:sz w:val="20"/>
          <w:szCs w:val="20"/>
          <w:lang w:eastAsia="fr-FR"/>
        </w:rPr>
        <w:t xml:space="preserve">oritaire (90%). Et le rejet à l’évier des effluents est de 50% sans plus de précision apportée. Ce qui paraît problématique étant donné la mixité du risque chimique et biologique de ces effluents. Se pose également le problème de la fréquence d’évacuation.</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Concernant les déchets solides, ceux-ci sont principalement traités en déchets biologiques non traités et évacués par la </w:t>
      </w:r>
      <w:r>
        <w:rPr>
          <w:rFonts w:ascii="Calibri" w:hAnsi="Calibri" w:cs="Calibri" w:eastAsia="Times New Roman"/>
          <w:color w:val="000000"/>
          <w:sz w:val="20"/>
          <w:szCs w:val="20"/>
          <w:lang w:eastAsia="fr-FR"/>
        </w:rPr>
        <w:t xml:space="preserve">filère</w:t>
      </w:r>
      <w:r>
        <w:rPr>
          <w:rFonts w:ascii="Calibri" w:hAnsi="Calibri" w:cs="Calibri" w:eastAsia="Times New Roman"/>
          <w:color w:val="000000"/>
          <w:sz w:val="20"/>
          <w:szCs w:val="20"/>
          <w:lang w:eastAsia="fr-FR"/>
        </w:rPr>
        <w:t xml:space="preserve"> DASRI.</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Il n’y a pas de différence de traitement des effluents provenant d’analyseurs ou de trieurs.</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Il est discuté du manque de précision sur l’environnement des utilisateurs ayant répondu ce qui influe nécessairement sur le façon dont sont pris en charge les déchets. Il serait bien de rajouter au questionnaire la nature de la structu</w:t>
      </w:r>
      <w:r>
        <w:rPr>
          <w:rFonts w:ascii="Calibri" w:hAnsi="Calibri" w:cs="Calibri" w:eastAsia="Times New Roman"/>
          <w:color w:val="000000"/>
          <w:sz w:val="20"/>
          <w:szCs w:val="20"/>
          <w:lang w:eastAsia="fr-FR"/>
        </w:rPr>
        <w:t xml:space="preserve">r</w:t>
      </w:r>
      <w:r>
        <w:rPr>
          <w:rFonts w:ascii="Calibri" w:hAnsi="Calibri" w:cs="Calibri" w:eastAsia="Times New Roman"/>
          <w:color w:val="000000"/>
          <w:sz w:val="20"/>
          <w:szCs w:val="20"/>
          <w:lang w:eastAsia="fr-FR"/>
        </w:rPr>
        <w:t xml:space="preserve">e</w:t>
      </w:r>
      <w:r>
        <w:rPr>
          <w:rFonts w:ascii="Calibri" w:hAnsi="Calibri" w:cs="Calibri" w:eastAsia="Times New Roman"/>
          <w:color w:val="000000"/>
          <w:sz w:val="20"/>
          <w:szCs w:val="20"/>
          <w:lang w:eastAsia="fr-FR"/>
        </w:rPr>
        <w:t xml:space="preserve"> hébergeant l’activité.</w:t>
      </w:r>
      <w:r>
        <w:rPr>
          <w:rFonts w:ascii="Calibri" w:hAnsi="Calibri" w:cs="Calibri" w:eastAsia="Times New Roman"/>
          <w:color w:val="000000"/>
          <w:sz w:val="20"/>
          <w:szCs w:val="20"/>
          <w:lang w:eastAsia="fr-FR"/>
        </w:rPr>
        <w:t xml:space="preserve"> </w:t>
      </w:r>
      <w:r>
        <w:rPr>
          <w:rFonts w:ascii="Calibri" w:hAnsi="Calibri" w:cs="Calibri" w:eastAsia="Times New Roman"/>
          <w:color w:val="000000"/>
          <w:sz w:val="20"/>
          <w:szCs w:val="20"/>
          <w:lang w:eastAsia="fr-FR"/>
        </w:rPr>
        <w:t xml:space="preserve">L</w:t>
      </w:r>
      <w:r>
        <w:rPr>
          <w:rFonts w:ascii="Calibri" w:hAnsi="Calibri" w:cs="Calibri" w:eastAsia="Times New Roman"/>
          <w:color w:val="000000"/>
          <w:sz w:val="20"/>
          <w:szCs w:val="20"/>
          <w:lang w:eastAsia="fr-FR"/>
        </w:rPr>
        <w:t xml:space="preserve">es </w:t>
      </w:r>
      <w:r>
        <w:rPr>
          <w:rFonts w:ascii="Calibri" w:hAnsi="Calibri" w:cs="Calibri" w:eastAsia="Times New Roman"/>
          <w:color w:val="000000"/>
          <w:sz w:val="20"/>
          <w:szCs w:val="20"/>
          <w:lang w:eastAsia="fr-FR"/>
        </w:rPr>
        <w:t xml:space="preserve">hôpitaux</w:t>
      </w:r>
      <w:r>
        <w:rPr>
          <w:rFonts w:ascii="Calibri" w:hAnsi="Calibri" w:cs="Calibri" w:eastAsia="Times New Roman"/>
          <w:color w:val="000000"/>
          <w:sz w:val="20"/>
          <w:szCs w:val="20"/>
          <w:lang w:eastAsia="fr-FR"/>
        </w:rPr>
        <w:t xml:space="preserve"> ayant par exemple un circuit organisé donc une approche nécessairement différente.</w:t>
      </w:r>
      <w:r>
        <w:rPr>
          <w:rFonts w:ascii="Calibri" w:hAnsi="Calibri" w:cs="Calibri" w:eastAsia="Times New Roman"/>
          <w:color w:val="000000"/>
          <w:sz w:val="20"/>
          <w:szCs w:val="20"/>
          <w:lang w:eastAsia="fr-FR"/>
        </w:rPr>
        <w:t xml:space="preserve"> Et </w:t>
      </w:r>
      <w:r>
        <w:rPr>
          <w:rFonts w:ascii="Calibri" w:hAnsi="Calibri" w:cs="Calibri" w:eastAsia="Times New Roman"/>
          <w:color w:val="000000"/>
          <w:sz w:val="20"/>
          <w:szCs w:val="20"/>
          <w:lang w:eastAsia="fr-FR"/>
        </w:rPr>
        <w:t xml:space="preserve">pour </w:t>
      </w:r>
      <w:r>
        <w:rPr>
          <w:rFonts w:ascii="Calibri" w:hAnsi="Calibri" w:cs="Calibri" w:eastAsia="Times New Roman"/>
          <w:color w:val="000000"/>
          <w:sz w:val="20"/>
          <w:szCs w:val="20"/>
          <w:lang w:eastAsia="fr-FR"/>
        </w:rPr>
        <w:t xml:space="preserve">certaines </w:t>
      </w:r>
      <w:r>
        <w:rPr>
          <w:rFonts w:ascii="Calibri" w:hAnsi="Calibri" w:cs="Calibri" w:eastAsia="Times New Roman"/>
          <w:color w:val="000000"/>
          <w:sz w:val="20"/>
          <w:szCs w:val="20"/>
          <w:lang w:eastAsia="fr-FR"/>
        </w:rPr>
        <w:t xml:space="preserve">structures</w:t>
      </w:r>
      <w:r>
        <w:rPr>
          <w:rFonts w:ascii="Calibri" w:hAnsi="Calibri" w:cs="Calibri" w:eastAsia="Times New Roman"/>
          <w:color w:val="000000"/>
          <w:sz w:val="20"/>
          <w:szCs w:val="20"/>
          <w:lang w:eastAsia="fr-FR"/>
        </w:rPr>
        <w:t xml:space="preserve"> même si adossées à un CHU</w:t>
      </w:r>
      <w:r>
        <w:rPr>
          <w:rFonts w:ascii="Calibri" w:hAnsi="Calibri" w:cs="Calibri" w:eastAsia="Times New Roman"/>
          <w:color w:val="000000"/>
          <w:sz w:val="20"/>
          <w:szCs w:val="20"/>
          <w:lang w:eastAsia="fr-FR"/>
        </w:rPr>
        <w:t xml:space="preserve">, elles</w:t>
      </w:r>
      <w:r>
        <w:rPr>
          <w:rFonts w:ascii="Calibri" w:hAnsi="Calibri" w:cs="Calibri" w:eastAsia="Times New Roman"/>
          <w:color w:val="000000"/>
          <w:sz w:val="20"/>
          <w:szCs w:val="20"/>
          <w:lang w:eastAsia="fr-FR"/>
        </w:rPr>
        <w:t xml:space="preserve"> n’ont pas toujours accès à leur filière de gestion des déchets et donc </w:t>
      </w:r>
      <w:r>
        <w:rPr>
          <w:rFonts w:ascii="Calibri" w:hAnsi="Calibri" w:cs="Calibri" w:eastAsia="Times New Roman"/>
          <w:color w:val="000000"/>
          <w:sz w:val="20"/>
          <w:szCs w:val="20"/>
          <w:lang w:eastAsia="fr-FR"/>
        </w:rPr>
        <w:t xml:space="preserve">de </w:t>
      </w:r>
      <w:r>
        <w:rPr>
          <w:rFonts w:ascii="Calibri" w:hAnsi="Calibri" w:cs="Calibri" w:eastAsia="Times New Roman"/>
          <w:color w:val="000000"/>
          <w:sz w:val="20"/>
          <w:szCs w:val="20"/>
          <w:lang w:eastAsia="fr-FR"/>
        </w:rPr>
        <w:t xml:space="preserve">procédures/circuit</w:t>
      </w:r>
      <w:r>
        <w:rPr>
          <w:rFonts w:ascii="Calibri" w:hAnsi="Calibri" w:cs="Calibri" w:eastAsia="Times New Roman"/>
          <w:color w:val="000000"/>
          <w:sz w:val="20"/>
          <w:szCs w:val="20"/>
          <w:lang w:eastAsia="fr-FR"/>
        </w:rPr>
        <w:t xml:space="preserve">s</w:t>
      </w:r>
      <w:r>
        <w:rPr>
          <w:rFonts w:ascii="Calibri" w:hAnsi="Calibri" w:cs="Calibri" w:eastAsia="Times New Roman"/>
          <w:color w:val="000000"/>
          <w:sz w:val="20"/>
          <w:szCs w:val="20"/>
          <w:lang w:eastAsia="fr-FR"/>
        </w:rPr>
        <w:t xml:space="preserve"> à établir indépendamment.</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Il est rediscuté la pertinence du StériO3 comme système de décontamination permettant de se passer de la javel très problématique pour l’environnement. Cependant reste alors également le problème de la présence de phosphates </w:t>
      </w:r>
      <w:r>
        <w:rPr>
          <w:rFonts w:ascii="Calibri" w:hAnsi="Calibri" w:cs="Calibri" w:eastAsia="Times New Roman"/>
          <w:color w:val="000000"/>
          <w:sz w:val="20"/>
          <w:szCs w:val="20"/>
          <w:lang w:eastAsia="fr-FR"/>
        </w:rPr>
        <w:t xml:space="preserve">ou autres additifs problématiques </w:t>
      </w:r>
      <w:r>
        <w:rPr>
          <w:rFonts w:ascii="Calibri" w:hAnsi="Calibri" w:cs="Calibri" w:eastAsia="Times New Roman"/>
          <w:color w:val="000000"/>
          <w:sz w:val="20"/>
          <w:szCs w:val="20"/>
          <w:lang w:eastAsia="fr-FR"/>
        </w:rPr>
        <w:t xml:space="preserve">de certains liquides de gaine.</w:t>
      </w:r>
      <w:r>
        <w:rPr>
          <w:rFonts w:ascii="Calibri" w:hAnsi="Calibri" w:cs="Calibri" w:eastAsia="Times New Roman"/>
          <w:color w:val="000000"/>
          <w:sz w:val="20"/>
          <w:szCs w:val="20"/>
          <w:lang w:eastAsia="fr-FR"/>
        </w:rPr>
        <w:t xml:space="preserve"> A voir les options existantes sur ce système.</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Concernant la composition des liquides de gaines,</w:t>
      </w:r>
      <w:r>
        <w:rPr>
          <w:rFonts w:ascii="Calibri" w:hAnsi="Calibri" w:cs="Calibri" w:eastAsia="Times New Roman"/>
          <w:color w:val="000000"/>
          <w:sz w:val="20"/>
          <w:szCs w:val="20"/>
          <w:lang w:eastAsia="fr-FR"/>
        </w:rPr>
        <w:t xml:space="preserve"> Muriel présente les solutions mises en place avec son équipe. Le liquide de gaine d’analyseurs contenant du phosphate peut être remplacé par une préparation simple : </w:t>
      </w:r>
      <w:r>
        <w:rPr>
          <w:rFonts w:ascii="Calibri" w:hAnsi="Calibri" w:cs="Calibri" w:eastAsia="Times New Roman"/>
          <w:color w:val="000000"/>
          <w:sz w:val="20"/>
          <w:szCs w:val="20"/>
          <w:lang w:eastAsia="fr-FR"/>
        </w:rPr>
        <w:t xml:space="preserve">eau </w:t>
      </w:r>
      <w:r>
        <w:rPr>
          <w:rFonts w:ascii="Calibri" w:hAnsi="Calibri" w:cs="Calibri" w:eastAsia="Times New Roman"/>
          <w:color w:val="000000"/>
          <w:sz w:val="20"/>
          <w:szCs w:val="20"/>
          <w:lang w:eastAsia="fr-FR"/>
        </w:rPr>
        <w:t xml:space="preserve">ultrapure</w:t>
      </w:r>
      <w:r>
        <w:rPr>
          <w:rFonts w:ascii="Calibri" w:hAnsi="Calibri" w:cs="Calibri" w:eastAsia="Times New Roman"/>
          <w:color w:val="000000"/>
          <w:sz w:val="20"/>
          <w:szCs w:val="20"/>
          <w:lang w:eastAsia="fr-FR"/>
        </w:rPr>
        <w:t xml:space="preserve">, </w:t>
      </w:r>
      <w:r>
        <w:rPr>
          <w:rFonts w:ascii="Calibri" w:hAnsi="Calibri" w:cs="Calibri" w:eastAsia="Times New Roman"/>
          <w:color w:val="000000"/>
          <w:sz w:val="20"/>
          <w:szCs w:val="20"/>
          <w:lang w:eastAsia="fr-FR"/>
        </w:rPr>
        <w:t xml:space="preserve">NaCl</w:t>
      </w:r>
      <w:r>
        <w:rPr>
          <w:rFonts w:ascii="Calibri" w:hAnsi="Calibri" w:cs="Calibri" w:eastAsia="Times New Roman"/>
          <w:color w:val="000000"/>
          <w:sz w:val="20"/>
          <w:szCs w:val="20"/>
          <w:lang w:eastAsia="fr-FR"/>
        </w:rPr>
        <w:t xml:space="preserve">  à 10% (nécessaire sur les </w:t>
      </w:r>
      <w:r>
        <w:rPr>
          <w:rFonts w:ascii="Calibri" w:hAnsi="Calibri" w:cs="Calibri" w:eastAsia="Times New Roman"/>
          <w:color w:val="000000"/>
          <w:sz w:val="20"/>
          <w:szCs w:val="20"/>
          <w:lang w:eastAsia="fr-FR"/>
        </w:rPr>
        <w:t xml:space="preserve">cytomètres</w:t>
      </w:r>
      <w:r>
        <w:rPr>
          <w:rFonts w:ascii="Calibri" w:hAnsi="Calibri" w:cs="Calibri" w:eastAsia="Times New Roman"/>
          <w:color w:val="000000"/>
          <w:sz w:val="20"/>
          <w:szCs w:val="20"/>
          <w:lang w:eastAsia="fr-FR"/>
        </w:rPr>
        <w:t xml:space="preserve"> BD avec bidon intermédiaire)</w:t>
      </w:r>
      <w:r>
        <w:rPr>
          <w:rFonts w:ascii="Calibri" w:hAnsi="Calibri" w:cs="Calibri" w:eastAsia="Times New Roman"/>
          <w:color w:val="000000"/>
          <w:sz w:val="20"/>
          <w:szCs w:val="20"/>
          <w:lang w:eastAsia="fr-FR"/>
        </w:rPr>
        <w:t xml:space="preserve">, </w:t>
      </w:r>
      <w:r>
        <w:rPr>
          <w:rFonts w:ascii="Calibri" w:hAnsi="Calibri" w:cs="Calibri" w:eastAsia="Times New Roman"/>
          <w:color w:val="000000"/>
          <w:sz w:val="20"/>
          <w:szCs w:val="20"/>
          <w:lang w:eastAsia="fr-FR"/>
        </w:rPr>
        <w:t xml:space="preserve">fluorure de sodium (conservateur)</w:t>
      </w:r>
      <w:r>
        <w:rPr>
          <w:rFonts w:ascii="Calibri" w:hAnsi="Calibri" w:cs="Calibri" w:eastAsia="Times New Roman"/>
          <w:color w:val="000000"/>
          <w:sz w:val="20"/>
          <w:szCs w:val="20"/>
          <w:lang w:eastAsia="fr-FR"/>
        </w:rPr>
        <w:t xml:space="preserve"> et </w:t>
      </w:r>
      <w:r>
        <w:rPr>
          <w:rFonts w:ascii="Calibri" w:hAnsi="Calibri" w:cs="Calibri" w:eastAsia="Times New Roman"/>
          <w:color w:val="000000"/>
          <w:sz w:val="20"/>
          <w:szCs w:val="20"/>
          <w:lang w:eastAsia="fr-FR"/>
        </w:rPr>
        <w:t xml:space="preserve">EDTA pour éviter le colmatage</w:t>
      </w:r>
      <w:r>
        <w:rPr>
          <w:rFonts w:ascii="Calibri" w:hAnsi="Calibri" w:cs="Calibri" w:eastAsia="Times New Roman"/>
          <w:color w:val="000000"/>
          <w:sz w:val="20"/>
          <w:szCs w:val="20"/>
          <w:lang w:eastAsia="fr-FR"/>
        </w:rPr>
        <w:t xml:space="preserve">. Ce liquide de gaine n’est en revanche pas compatible avec le passeur de plaque (HTS, BD)</w:t>
      </w:r>
      <w:r>
        <w:rPr>
          <w:rFonts w:ascii="Calibri" w:hAnsi="Calibri" w:cs="Calibri" w:eastAsia="Times New Roman"/>
          <w:color w:val="000000"/>
          <w:sz w:val="20"/>
          <w:szCs w:val="20"/>
          <w:lang w:eastAsia="fr-FR"/>
        </w:rPr>
        <w:t xml:space="preserve">.</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Il est</w:t>
      </w:r>
      <w:r>
        <w:rPr>
          <w:rFonts w:ascii="Calibri" w:hAnsi="Calibri" w:cs="Calibri" w:eastAsia="Times New Roman"/>
          <w:color w:val="000000"/>
          <w:sz w:val="20"/>
          <w:szCs w:val="20"/>
          <w:lang w:eastAsia="fr-FR"/>
        </w:rPr>
        <w:t xml:space="preserve"> également</w:t>
      </w:r>
      <w:r>
        <w:rPr>
          <w:rFonts w:ascii="Calibri" w:hAnsi="Calibri" w:cs="Calibri" w:eastAsia="Times New Roman"/>
          <w:color w:val="000000"/>
          <w:sz w:val="20"/>
          <w:szCs w:val="20"/>
          <w:lang w:eastAsia="fr-FR"/>
        </w:rPr>
        <w:t xml:space="preserve"> cité en exemple le fournisseur </w:t>
      </w:r>
      <w:r>
        <w:rPr>
          <w:rFonts w:ascii="Calibri" w:hAnsi="Calibri" w:cs="Calibri" w:eastAsia="Times New Roman"/>
          <w:color w:val="000000"/>
          <w:sz w:val="20"/>
          <w:szCs w:val="20"/>
          <w:lang w:eastAsia="fr-FR"/>
        </w:rPr>
        <w:t xml:space="preserve">Cytek</w:t>
      </w:r>
      <w:r>
        <w:rPr>
          <w:rFonts w:ascii="Calibri" w:hAnsi="Calibri" w:cs="Calibri" w:eastAsia="Times New Roman"/>
          <w:color w:val="000000"/>
          <w:sz w:val="20"/>
          <w:szCs w:val="20"/>
          <w:lang w:eastAsia="fr-FR"/>
        </w:rPr>
        <w:t xml:space="preserve"> qui propose de travailler directement avec de l’eau. Une expérience est menée avec leur accord depuis 1 an sur le site de Cochin. C’est également possible sur l’</w:t>
      </w:r>
      <w:r>
        <w:rPr>
          <w:rFonts w:ascii="Calibri" w:hAnsi="Calibri" w:cs="Calibri" w:eastAsia="Times New Roman"/>
          <w:color w:val="000000"/>
          <w:sz w:val="20"/>
          <w:szCs w:val="20"/>
          <w:lang w:eastAsia="fr-FR"/>
        </w:rPr>
        <w:t xml:space="preserve">Accuri</w:t>
      </w:r>
      <w:r>
        <w:rPr>
          <w:rFonts w:ascii="Calibri" w:hAnsi="Calibri" w:cs="Calibri" w:eastAsia="Times New Roman"/>
          <w:color w:val="000000"/>
          <w:sz w:val="20"/>
          <w:szCs w:val="20"/>
          <w:lang w:eastAsia="fr-FR"/>
        </w:rPr>
        <w:t xml:space="preserve"> et sur le </w:t>
      </w:r>
      <w:r>
        <w:rPr>
          <w:rFonts w:ascii="Calibri" w:hAnsi="Calibri" w:cs="Calibri" w:eastAsia="Times New Roman"/>
          <w:color w:val="000000"/>
          <w:sz w:val="20"/>
          <w:szCs w:val="20"/>
          <w:lang w:eastAsia="fr-FR"/>
        </w:rPr>
        <w:t xml:space="preserve">Navios</w:t>
      </w:r>
      <w:r>
        <w:rPr>
          <w:rFonts w:ascii="Calibri" w:hAnsi="Calibri" w:cs="Calibri" w:eastAsia="Times New Roman"/>
          <w:color w:val="000000"/>
          <w:sz w:val="20"/>
          <w:szCs w:val="20"/>
          <w:lang w:eastAsia="fr-FR"/>
        </w:rPr>
        <w:t xml:space="preserve">. Pour les trieurs, il pourrait être envisagé de tester une solution isotonique type </w:t>
      </w:r>
      <w:r>
        <w:rPr>
          <w:rFonts w:ascii="Calibri" w:hAnsi="Calibri" w:cs="Calibri" w:eastAsia="Times New Roman"/>
          <w:color w:val="000000"/>
          <w:sz w:val="20"/>
          <w:szCs w:val="20"/>
          <w:lang w:eastAsia="fr-FR"/>
        </w:rPr>
        <w:t xml:space="preserve">sérum</w:t>
      </w:r>
      <w:r>
        <w:rPr>
          <w:rFonts w:ascii="Calibri" w:hAnsi="Calibri" w:cs="Calibri" w:eastAsia="Times New Roman"/>
          <w:color w:val="000000"/>
          <w:sz w:val="20"/>
          <w:szCs w:val="20"/>
          <w:lang w:eastAsia="fr-FR"/>
        </w:rPr>
        <w:t xml:space="preserve"> physiologique.</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Peggy rapporte également que Sony propose maintenant des bidons contenant un liquide de gaine concentré (10x) à diluer.</w:t>
      </w:r>
      <w:r>
        <w:rPr>
          <w:rFonts w:ascii="Calibri" w:hAnsi="Calibri" w:cs="Calibri" w:eastAsia="Times New Roman"/>
          <w:color w:val="000000"/>
          <w:sz w:val="20"/>
          <w:szCs w:val="20"/>
          <w:lang w:eastAsia="fr-FR"/>
        </w:rPr>
        <w:t xml:space="preserve"> </w:t>
      </w:r>
      <w:r>
        <w:rPr>
          <w:rFonts w:ascii="Wingdings" w:hAnsi="Wingdings" w:cs="Wingdings" w:eastAsia="Wingdings"/>
          <w:color w:val="000000"/>
          <w:sz w:val="20"/>
          <w:szCs w:val="20"/>
          <w:lang w:eastAsia="fr-FR"/>
        </w:rPr>
        <w:t xml:space="preserve">à</w:t>
      </w:r>
      <w:r>
        <w:rPr>
          <w:rFonts w:ascii="Calibri" w:hAnsi="Calibri" w:cs="Calibri" w:eastAsia="Times New Roman"/>
          <w:color w:val="000000"/>
          <w:sz w:val="20"/>
          <w:szCs w:val="20"/>
          <w:lang w:eastAsia="fr-FR"/>
        </w:rPr>
        <w:t xml:space="preserve"> Solution en demi-teinte car ne réduit pas directement l’impact environnemental (emballage, transport…). Il est important dans ce circuit de prioriser la diminution globale de l’impact. </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Ces alternatives permettraient ainsi une réduction de l’impact environnemental, une amélioration des conditions de travail évitant la manutention des bidons de 20L  ainsi que des économies.</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Julie propose de faire évoluer le questionnaire avec les items suivants :</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Précision sur le contenu des effluents et leur volume</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Précision à apporter sur les circuits avec station d’épuration. Traitements effectués avant rejet</w:t>
      </w:r>
      <w:r>
        <w:rPr>
          <w:rFonts w:ascii="Calibri" w:hAnsi="Calibri" w:cs="Calibri" w:eastAsia="Times New Roman"/>
          <w:color w:val="000000"/>
          <w:sz w:val="20"/>
          <w:szCs w:val="20"/>
          <w:lang w:eastAsia="fr-FR"/>
        </w:rPr>
        <w:t xml:space="preserve">.</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Fréquence d’évacuation</w:t>
      </w:r>
      <w:r>
        <w:rPr>
          <w:rFonts w:ascii="Calibri" w:hAnsi="Calibri" w:cs="Calibri" w:eastAsia="Times New Roman"/>
          <w:color w:val="000000"/>
          <w:sz w:val="20"/>
          <w:szCs w:val="20"/>
          <w:lang w:eastAsia="fr-FR"/>
        </w:rPr>
        <w:t xml:space="preserve"> ?</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Qui a réalisé l’évaluation des risques ?</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Quelle est la nature du produit chimique et sa concentration ?</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Profil du répondant : utilisateur / personnel plateforme / gestionnaire d’un appareil</w:t>
      </w:r>
      <w:r/>
    </w:p>
    <w:p>
      <w:pPr>
        <w:jc w:val="both"/>
        <w:spacing w:after="100" w:afterAutospacing="1" w:before="100" w:beforeAutospacing="1"/>
        <w:rPr>
          <w:rFonts w:ascii="Calibri" w:hAnsi="Calibri" w:cs="Calibri" w:eastAsia="Times New Roman"/>
          <w:color w:val="000000"/>
          <w:sz w:val="20"/>
          <w:szCs w:val="20"/>
          <w:lang w:eastAsia="fr-FR"/>
        </w:rPr>
      </w:pPr>
      <w:r>
        <w:rPr>
          <w:rFonts w:ascii="Wingdings" w:hAnsi="Wingdings" w:cs="Wingdings" w:eastAsia="Wingdings"/>
          <w:color w:val="000000"/>
          <w:sz w:val="20"/>
          <w:szCs w:val="20"/>
          <w:lang w:eastAsia="fr-FR"/>
        </w:rPr>
      </w:r>
      <w:r>
        <w:rPr>
          <w:rFonts w:ascii="Calibri" w:hAnsi="Calibri" w:cs="Calibri" w:eastAsia="Times New Roman"/>
          <w:color w:val="000000"/>
          <w:sz w:val="20"/>
          <w:szCs w:val="20"/>
          <w:lang w:eastAsia="fr-FR"/>
        </w:rPr>
        <w:t xml:space="preserve">Il serait également souhaitable d’augmenter le nombre de retours. Il existe au minimum une cent</w:t>
      </w:r>
      <w:r>
        <w:rPr>
          <w:rFonts w:ascii="Calibri" w:hAnsi="Calibri" w:cs="Calibri" w:eastAsia="Times New Roman"/>
          <w:color w:val="000000"/>
          <w:sz w:val="20"/>
          <w:szCs w:val="20"/>
          <w:lang w:eastAsia="fr-FR"/>
        </w:rPr>
        <w:t xml:space="preserve">aine de plateformes en France. Il est proposé donc de diffuser plus largement et de faire circuler aussi hors AFC. La mailing liste de l’AFC est d’environ 400  mais si tous ne sont pas à jour de leur cotisation cela permettrait d’augmenter le public ciblé.</w:t>
      </w:r>
      <w:r/>
    </w:p>
    <w:p>
      <w:pPr>
        <w:pStyle w:val="617"/>
        <w:numPr>
          <w:ilvl w:val="0"/>
          <w:numId w:val="1"/>
        </w:numPr>
        <w:jc w:val="both"/>
        <w:rPr>
          <w:rFonts w:ascii="Calibri" w:hAnsi="Calibri" w:cs="Calibri" w:eastAsia="Times New Roman"/>
          <w:color w:val="000000"/>
          <w:sz w:val="22"/>
          <w:szCs w:val="22"/>
          <w:u w:val="single"/>
          <w:lang w:eastAsia="fr-FR"/>
        </w:rPr>
      </w:pPr>
      <w:r>
        <w:rPr>
          <w:rFonts w:ascii="Calibri" w:hAnsi="Calibri" w:cs="Calibri" w:eastAsia="Times New Roman"/>
          <w:color w:val="000000"/>
          <w:sz w:val="22"/>
          <w:szCs w:val="22"/>
          <w:u w:val="single"/>
          <w:lang w:eastAsia="fr-FR"/>
        </w:rPr>
        <w:t xml:space="preserve">Thématique environnement : proposition d’un nouveau questionnaire à destination des fournisseurs et utilisateurs</w:t>
      </w:r>
      <w:r/>
    </w:p>
    <w:p>
      <w:pPr>
        <w:pStyle w:val="617"/>
        <w:jc w:val="both"/>
        <w:rPr>
          <w:rFonts w:ascii="Calibri" w:hAnsi="Calibri" w:cs="Calibri" w:eastAsia="Times New Roman"/>
          <w:color w:val="000000"/>
          <w:sz w:val="22"/>
          <w:szCs w:val="22"/>
          <w:u w:val="single"/>
          <w:lang w:eastAsia="fr-FR"/>
        </w:rPr>
      </w:pPr>
      <w:r>
        <w:rPr>
          <w:rFonts w:ascii="Calibri" w:hAnsi="Calibri" w:cs="Calibri" w:eastAsia="Times New Roman"/>
          <w:color w:val="000000"/>
          <w:sz w:val="22"/>
          <w:szCs w:val="22"/>
          <w:u w:val="single"/>
          <w:lang w:eastAsia="fr-FR"/>
        </w:rPr>
      </w:r>
      <w:r/>
    </w:p>
    <w:p>
      <w:pPr>
        <w:jc w:val="both"/>
        <w:rPr>
          <w:sz w:val="20"/>
          <w:szCs w:val="20"/>
        </w:rPr>
      </w:pPr>
      <w:r>
        <w:rPr>
          <w:rFonts w:ascii="Wingdings" w:hAnsi="Wingdings" w:cs="Wingdings" w:eastAsia="Wingdings"/>
          <w:sz w:val="20"/>
          <w:szCs w:val="20"/>
        </w:rPr>
      </w:r>
      <w:r>
        <w:rPr>
          <w:sz w:val="20"/>
          <w:szCs w:val="20"/>
        </w:rPr>
        <w:t xml:space="preserve">Peggy propose de réaliser un sondage sur l’impact environnemental</w:t>
      </w:r>
      <w:r>
        <w:rPr>
          <w:sz w:val="20"/>
          <w:szCs w:val="20"/>
        </w:rPr>
        <w:t xml:space="preserve"> à destination des utilisateurs mais aussi des fournisseurs. </w:t>
      </w:r>
      <w:r/>
    </w:p>
    <w:p>
      <w:pPr>
        <w:jc w:val="both"/>
        <w:rPr>
          <w:sz w:val="20"/>
          <w:szCs w:val="20"/>
        </w:rPr>
      </w:pPr>
      <w:r>
        <w:rPr>
          <w:sz w:val="20"/>
          <w:szCs w:val="20"/>
        </w:rPr>
        <w:t xml:space="preserve">L</w:t>
      </w:r>
      <w:r>
        <w:rPr>
          <w:sz w:val="20"/>
          <w:szCs w:val="20"/>
        </w:rPr>
        <w:t xml:space="preserve">es points à aborder </w:t>
      </w:r>
      <w:r>
        <w:rPr>
          <w:sz w:val="20"/>
          <w:szCs w:val="20"/>
        </w:rPr>
        <w:t xml:space="preserve">pour les fournisseurs seraient </w:t>
      </w:r>
      <w:r>
        <w:rPr>
          <w:sz w:val="20"/>
          <w:szCs w:val="20"/>
        </w:rPr>
        <w:t xml:space="preserve">:</w:t>
      </w:r>
      <w:r/>
    </w:p>
    <w:p>
      <w:pPr>
        <w:pStyle w:val="617"/>
        <w:numPr>
          <w:ilvl w:val="0"/>
          <w:numId w:val="6"/>
        </w:numPr>
        <w:jc w:val="both"/>
        <w:rPr>
          <w:sz w:val="20"/>
          <w:szCs w:val="20"/>
        </w:rPr>
      </w:pPr>
      <w:r>
        <w:rPr>
          <w:sz w:val="20"/>
          <w:szCs w:val="20"/>
        </w:rPr>
        <w:t xml:space="preserve">Le conditionnement des liquides de gaine et produits</w:t>
      </w:r>
      <w:r>
        <w:rPr>
          <w:sz w:val="20"/>
          <w:szCs w:val="20"/>
        </w:rPr>
        <w:t xml:space="preserve"> </w:t>
      </w:r>
      <w:r>
        <w:rPr>
          <w:sz w:val="20"/>
          <w:szCs w:val="20"/>
        </w:rPr>
        <w:t xml:space="preserve">et l’emballage</w:t>
      </w:r>
      <w:r/>
    </w:p>
    <w:p>
      <w:pPr>
        <w:pStyle w:val="617"/>
        <w:numPr>
          <w:ilvl w:val="0"/>
          <w:numId w:val="6"/>
        </w:numPr>
        <w:jc w:val="both"/>
        <w:rPr>
          <w:sz w:val="20"/>
          <w:szCs w:val="20"/>
        </w:rPr>
      </w:pPr>
      <w:r>
        <w:rPr>
          <w:sz w:val="20"/>
          <w:szCs w:val="20"/>
        </w:rPr>
        <w:t xml:space="preserve">Avoir des précisions sur la composition des produits</w:t>
      </w:r>
      <w:r/>
    </w:p>
    <w:p>
      <w:pPr>
        <w:pStyle w:val="617"/>
        <w:numPr>
          <w:ilvl w:val="0"/>
          <w:numId w:val="6"/>
        </w:numPr>
        <w:jc w:val="both"/>
        <w:rPr>
          <w:sz w:val="20"/>
          <w:szCs w:val="20"/>
        </w:rPr>
      </w:pPr>
      <w:r>
        <w:rPr>
          <w:sz w:val="20"/>
          <w:szCs w:val="20"/>
        </w:rPr>
        <w:t xml:space="preserve">Estimer le volume des déchets générés selon le débit (</w:t>
      </w:r>
      <w:r>
        <w:rPr>
          <w:sz w:val="20"/>
          <w:szCs w:val="20"/>
        </w:rPr>
        <w:t xml:space="preserve">low</w:t>
      </w:r>
      <w:r>
        <w:rPr>
          <w:sz w:val="20"/>
          <w:szCs w:val="20"/>
        </w:rPr>
        <w:t xml:space="preserve">/medium/high)</w:t>
      </w:r>
      <w:r/>
    </w:p>
    <w:p>
      <w:pPr>
        <w:pStyle w:val="617"/>
        <w:numPr>
          <w:ilvl w:val="0"/>
          <w:numId w:val="6"/>
        </w:numPr>
        <w:jc w:val="both"/>
        <w:rPr>
          <w:sz w:val="20"/>
          <w:szCs w:val="20"/>
        </w:rPr>
      </w:pPr>
      <w:r>
        <w:rPr>
          <w:sz w:val="20"/>
          <w:szCs w:val="20"/>
        </w:rPr>
        <w:t xml:space="preserve">Provenance des produits (France, Europe, hors UE…)</w:t>
      </w:r>
      <w:r/>
    </w:p>
    <w:p>
      <w:pPr>
        <w:pStyle w:val="617"/>
        <w:numPr>
          <w:ilvl w:val="0"/>
          <w:numId w:val="6"/>
        </w:numPr>
        <w:jc w:val="both"/>
        <w:rPr>
          <w:sz w:val="20"/>
          <w:szCs w:val="20"/>
        </w:rPr>
      </w:pPr>
      <w:r>
        <w:rPr>
          <w:sz w:val="20"/>
          <w:szCs w:val="20"/>
        </w:rPr>
        <w:t xml:space="preserve">Mise en place d’une politique de diminution des emballages ?</w:t>
      </w:r>
      <w:r/>
    </w:p>
    <w:p>
      <w:pPr>
        <w:pStyle w:val="617"/>
        <w:numPr>
          <w:ilvl w:val="0"/>
          <w:numId w:val="6"/>
        </w:numPr>
        <w:jc w:val="both"/>
        <w:rPr>
          <w:sz w:val="20"/>
          <w:szCs w:val="20"/>
        </w:rPr>
      </w:pPr>
      <w:r>
        <w:rPr>
          <w:sz w:val="20"/>
          <w:szCs w:val="20"/>
        </w:rPr>
        <w:t xml:space="preserve">Certification qualité norme environnementale ? </w:t>
      </w:r>
      <w:r/>
    </w:p>
    <w:p>
      <w:pPr>
        <w:jc w:val="both"/>
        <w:rPr>
          <w:sz w:val="20"/>
          <w:szCs w:val="20"/>
        </w:rPr>
      </w:pPr>
      <w:r>
        <w:rPr>
          <w:sz w:val="20"/>
          <w:szCs w:val="20"/>
        </w:rPr>
      </w:r>
      <w:r/>
    </w:p>
    <w:p>
      <w:pPr>
        <w:jc w:val="both"/>
        <w:rPr>
          <w:sz w:val="20"/>
          <w:szCs w:val="20"/>
        </w:rPr>
      </w:pPr>
      <w:r>
        <w:rPr>
          <w:sz w:val="20"/>
          <w:szCs w:val="20"/>
        </w:rPr>
        <w:t xml:space="preserve">Pour les utilisateurs les points les concernant pourraient être ajouté au questionnaire « Déchets » :</w:t>
      </w:r>
      <w:r/>
    </w:p>
    <w:p>
      <w:pPr>
        <w:pStyle w:val="617"/>
        <w:numPr>
          <w:ilvl w:val="0"/>
          <w:numId w:val="6"/>
        </w:numPr>
        <w:jc w:val="both"/>
        <w:rPr>
          <w:sz w:val="20"/>
          <w:szCs w:val="20"/>
        </w:rPr>
      </w:pPr>
      <w:r>
        <w:rPr>
          <w:sz w:val="20"/>
          <w:szCs w:val="20"/>
        </w:rPr>
        <w:t xml:space="preserve">Circuit de recyclage existant ?</w:t>
      </w:r>
      <w:r/>
    </w:p>
    <w:p>
      <w:pPr>
        <w:pStyle w:val="617"/>
        <w:numPr>
          <w:ilvl w:val="0"/>
          <w:numId w:val="6"/>
        </w:numPr>
        <w:jc w:val="both"/>
        <w:rPr>
          <w:sz w:val="20"/>
          <w:szCs w:val="20"/>
        </w:rPr>
      </w:pPr>
      <w:r>
        <w:rPr>
          <w:sz w:val="20"/>
          <w:szCs w:val="20"/>
        </w:rPr>
        <w:t xml:space="preserve">Appréciation </w:t>
      </w:r>
      <w:r>
        <w:rPr>
          <w:sz w:val="20"/>
          <w:szCs w:val="20"/>
        </w:rPr>
        <w:t xml:space="preserve">du conditionnement et </w:t>
      </w:r>
      <w:r>
        <w:rPr>
          <w:sz w:val="20"/>
          <w:szCs w:val="20"/>
        </w:rPr>
        <w:t xml:space="preserve">emballages </w:t>
      </w:r>
      <w:r/>
    </w:p>
    <w:p>
      <w:pPr>
        <w:pStyle w:val="617"/>
        <w:numPr>
          <w:ilvl w:val="0"/>
          <w:numId w:val="6"/>
        </w:numPr>
        <w:jc w:val="both"/>
        <w:rPr>
          <w:sz w:val="20"/>
          <w:szCs w:val="20"/>
        </w:rPr>
      </w:pPr>
      <w:r>
        <w:rPr>
          <w:sz w:val="20"/>
          <w:szCs w:val="20"/>
        </w:rPr>
        <w:t xml:space="preserve">Appréciation des utilisateurs vis-à-vis de leurs fournisseurs </w:t>
      </w:r>
      <w:r>
        <w:rPr>
          <w:sz w:val="20"/>
          <w:szCs w:val="20"/>
        </w:rPr>
        <w:t xml:space="preserve">sur le</w:t>
      </w:r>
      <w:r>
        <w:rPr>
          <w:sz w:val="20"/>
          <w:szCs w:val="20"/>
        </w:rPr>
        <w:t xml:space="preserve"> point « Environnement »</w:t>
      </w:r>
      <w:r/>
    </w:p>
    <w:p>
      <w:pPr>
        <w:jc w:val="both"/>
        <w:rPr>
          <w:sz w:val="20"/>
          <w:szCs w:val="20"/>
        </w:rPr>
      </w:pPr>
      <w:r>
        <w:rPr>
          <w:sz w:val="20"/>
          <w:szCs w:val="20"/>
        </w:rPr>
      </w:r>
      <w:r/>
    </w:p>
    <w:p>
      <w:pPr>
        <w:jc w:val="both"/>
        <w:rPr>
          <w:sz w:val="20"/>
          <w:szCs w:val="20"/>
        </w:rPr>
      </w:pPr>
      <w:r>
        <w:rPr>
          <w:sz w:val="20"/>
          <w:szCs w:val="20"/>
        </w:rPr>
        <w:t xml:space="preserve">Il est attendu qu’il soit difficile de faire évoluer le conditionnement. </w:t>
      </w:r>
      <w:r>
        <w:rPr>
          <w:sz w:val="20"/>
          <w:szCs w:val="20"/>
        </w:rPr>
        <w:t xml:space="preserve">Muriel évoque des efforts consentis par certains fournisseurs pour certains pays seulement selon la réglementation. </w:t>
      </w:r>
      <w:r>
        <w:rPr>
          <w:sz w:val="20"/>
          <w:szCs w:val="20"/>
        </w:rPr>
        <w:t xml:space="preserve">Cependant, un levier de la communauté pourrait être envisagé </w:t>
      </w:r>
      <w:r>
        <w:rPr>
          <w:i/>
          <w:sz w:val="20"/>
          <w:szCs w:val="20"/>
        </w:rPr>
        <w:t xml:space="preserve">via</w:t>
      </w:r>
      <w:r>
        <w:rPr>
          <w:sz w:val="20"/>
          <w:szCs w:val="20"/>
        </w:rPr>
        <w:t xml:space="preserve"> les appels d’offre en incluant un critère environnemental dans l’analyse </w:t>
      </w:r>
      <w:r>
        <w:rPr>
          <w:sz w:val="20"/>
          <w:szCs w:val="20"/>
        </w:rPr>
        <w:t xml:space="preserve">et la sélection </w:t>
      </w:r>
      <w:r>
        <w:rPr>
          <w:sz w:val="20"/>
          <w:szCs w:val="20"/>
        </w:rPr>
        <w:t xml:space="preserve">des offres</w:t>
      </w:r>
      <w:r>
        <w:rPr>
          <w:sz w:val="20"/>
          <w:szCs w:val="20"/>
        </w:rPr>
        <w:t xml:space="preserve">.</w:t>
      </w:r>
      <w:r>
        <w:rPr>
          <w:sz w:val="20"/>
          <w:szCs w:val="20"/>
        </w:rPr>
        <w:t xml:space="preserve"> </w:t>
      </w:r>
      <w:r/>
    </w:p>
    <w:p>
      <w:pPr>
        <w:jc w:val="both"/>
        <w:rPr>
          <w:sz w:val="20"/>
          <w:szCs w:val="20"/>
        </w:rPr>
      </w:pPr>
      <w:r>
        <w:rPr>
          <w:sz w:val="20"/>
          <w:szCs w:val="20"/>
        </w:rPr>
      </w:r>
      <w:r/>
    </w:p>
    <w:p>
      <w:pPr>
        <w:jc w:val="both"/>
        <w:rPr>
          <w:sz w:val="20"/>
          <w:szCs w:val="20"/>
        </w:rPr>
      </w:pPr>
      <w:r>
        <w:rPr>
          <w:sz w:val="20"/>
          <w:szCs w:val="20"/>
        </w:rPr>
        <w:t xml:space="preserve">Il pourrait également être envisagé une action de communication </w:t>
      </w:r>
      <w:r>
        <w:rPr>
          <w:sz w:val="20"/>
          <w:szCs w:val="20"/>
        </w:rPr>
        <w:t xml:space="preserve">annuelle </w:t>
      </w:r>
      <w:r>
        <w:rPr>
          <w:sz w:val="20"/>
          <w:szCs w:val="20"/>
        </w:rPr>
        <w:t xml:space="preserve">de type</w:t>
      </w:r>
      <w:r>
        <w:rPr>
          <w:sz w:val="20"/>
          <w:szCs w:val="20"/>
        </w:rPr>
        <w:t xml:space="preserve"> récompense</w:t>
      </w:r>
      <w:r>
        <w:rPr>
          <w:sz w:val="20"/>
          <w:szCs w:val="20"/>
        </w:rPr>
        <w:t xml:space="preserve"> « Green </w:t>
      </w:r>
      <w:r>
        <w:rPr>
          <w:sz w:val="20"/>
          <w:szCs w:val="20"/>
        </w:rPr>
        <w:t xml:space="preserve">Award</w:t>
      </w:r>
      <w:r>
        <w:rPr>
          <w:sz w:val="20"/>
          <w:szCs w:val="20"/>
        </w:rPr>
        <w:t xml:space="preserve"> » </w:t>
      </w:r>
      <w:r>
        <w:rPr>
          <w:i/>
          <w:sz w:val="20"/>
          <w:szCs w:val="20"/>
        </w:rPr>
        <w:t xml:space="preserve">via</w:t>
      </w:r>
      <w:r>
        <w:rPr>
          <w:sz w:val="20"/>
          <w:szCs w:val="20"/>
        </w:rPr>
        <w:t xml:space="preserve"> l’AFC.</w:t>
      </w:r>
      <w:r/>
    </w:p>
    <w:p>
      <w:pPr>
        <w:jc w:val="both"/>
        <w:rPr>
          <w:sz w:val="20"/>
          <w:szCs w:val="20"/>
        </w:rPr>
      </w:pPr>
      <w:r>
        <w:rPr>
          <w:sz w:val="20"/>
          <w:szCs w:val="20"/>
        </w:rPr>
      </w:r>
      <w:r/>
    </w:p>
    <w:p>
      <w:pPr>
        <w:pStyle w:val="617"/>
        <w:numPr>
          <w:ilvl w:val="0"/>
          <w:numId w:val="1"/>
        </w:numPr>
        <w:jc w:val="both"/>
        <w:rPr>
          <w:sz w:val="21"/>
          <w:szCs w:val="21"/>
          <w:u w:val="single"/>
        </w:rPr>
      </w:pPr>
      <w:r>
        <w:rPr>
          <w:sz w:val="21"/>
          <w:szCs w:val="21"/>
          <w:u w:val="single"/>
        </w:rPr>
        <w:t xml:space="preserve">Logo / Bannière du groupe biosécurité pour le site web</w:t>
      </w:r>
      <w:r/>
    </w:p>
    <w:p>
      <w:pPr>
        <w:pStyle w:val="617"/>
        <w:jc w:val="both"/>
        <w:rPr>
          <w:sz w:val="21"/>
          <w:szCs w:val="21"/>
          <w:u w:val="single"/>
        </w:rPr>
      </w:pPr>
      <w:r>
        <w:rPr>
          <w:sz w:val="21"/>
          <w:szCs w:val="21"/>
          <w:u w:val="single"/>
        </w:rPr>
      </w:r>
      <w:r/>
    </w:p>
    <w:p>
      <w:pPr>
        <w:jc w:val="both"/>
        <w:rPr>
          <w:sz w:val="20"/>
          <w:szCs w:val="20"/>
        </w:rPr>
      </w:pPr>
      <w:r>
        <w:rPr>
          <w:sz w:val="20"/>
          <w:szCs w:val="20"/>
        </w:rPr>
        <w:t xml:space="preserve">Muriel propose de mettre à jour le logo du groupe selon le format adopté par les autres groupes soit un format horizontal type bannière. Les propositions sont les bienvenues ! </w:t>
      </w:r>
      <w:r/>
    </w:p>
    <w:p>
      <w:pPr>
        <w:jc w:val="both"/>
        <w:rPr>
          <w:sz w:val="20"/>
          <w:szCs w:val="20"/>
        </w:rPr>
      </w:pPr>
      <w:r>
        <w:rPr>
          <w:sz w:val="20"/>
          <w:szCs w:val="20"/>
        </w:rPr>
        <w:t xml:space="preserve">Il est </w:t>
      </w:r>
      <w:r>
        <w:rPr>
          <w:sz w:val="20"/>
          <w:szCs w:val="20"/>
        </w:rPr>
        <w:t xml:space="preserve">également </w:t>
      </w:r>
      <w:r>
        <w:rPr>
          <w:sz w:val="20"/>
          <w:szCs w:val="20"/>
        </w:rPr>
        <w:t xml:space="preserve">adopté à l’unanimité de renommer le groupe de travail « Biosécurité &amp; Environnement ».</w:t>
      </w:r>
      <w:r/>
    </w:p>
    <w:p>
      <w:pPr>
        <w:jc w:val="both"/>
        <w:rPr>
          <w:sz w:val="20"/>
          <w:szCs w:val="20"/>
        </w:rPr>
      </w:pPr>
      <w:r>
        <w:rPr>
          <w:sz w:val="20"/>
          <w:szCs w:val="20"/>
        </w:rPr>
        <w:t xml:space="preserve">Il serait donc souhaitable de rendre visible les deux axes de travail du groupe soit </w:t>
      </w:r>
      <w:r>
        <w:rPr>
          <w:sz w:val="20"/>
          <w:szCs w:val="20"/>
        </w:rPr>
        <w:t xml:space="preserve">Bioscécurité</w:t>
      </w:r>
      <w:r>
        <w:rPr>
          <w:sz w:val="20"/>
          <w:szCs w:val="20"/>
        </w:rPr>
        <w:t xml:space="preserve"> &amp; Environnement. </w:t>
      </w:r>
      <w:r/>
    </w:p>
    <w:p>
      <w:pPr>
        <w:jc w:val="both"/>
        <w:rPr>
          <w:sz w:val="20"/>
          <w:szCs w:val="20"/>
        </w:rPr>
      </w:pPr>
      <w:r>
        <w:rPr>
          <w:rFonts w:ascii="Wingdings" w:hAnsi="Wingdings" w:cs="Wingdings" w:eastAsia="Wingdings"/>
          <w:sz w:val="20"/>
          <w:szCs w:val="20"/>
        </w:rPr>
      </w:r>
      <w:r>
        <w:rPr>
          <w:sz w:val="20"/>
          <w:szCs w:val="20"/>
        </w:rPr>
        <w:t xml:space="preserve">Plusieurs propositions </w:t>
      </w:r>
      <w:r>
        <w:rPr>
          <w:sz w:val="20"/>
          <w:szCs w:val="20"/>
        </w:rPr>
        <w:t xml:space="preserve">de Myriam et Corinne </w:t>
      </w:r>
      <w:r>
        <w:rPr>
          <w:sz w:val="20"/>
          <w:szCs w:val="20"/>
        </w:rPr>
        <w:t xml:space="preserve">sont en cours de </w:t>
      </w:r>
      <w:r>
        <w:rPr>
          <w:sz w:val="20"/>
          <w:szCs w:val="20"/>
        </w:rPr>
        <w:t xml:space="preserve">réflexion/</w:t>
      </w:r>
      <w:r>
        <w:rPr>
          <w:sz w:val="20"/>
          <w:szCs w:val="20"/>
        </w:rPr>
        <w:t xml:space="preserve">réalisation et seront </w:t>
      </w:r>
      <w:r>
        <w:rPr>
          <w:sz w:val="20"/>
          <w:szCs w:val="20"/>
        </w:rPr>
        <w:t xml:space="preserve">diffusées au groupe.</w:t>
      </w:r>
      <w:r/>
    </w:p>
    <w:p>
      <w:pPr>
        <w:pStyle w:val="617"/>
        <w:jc w:val="both"/>
        <w:rPr>
          <w:sz w:val="20"/>
          <w:szCs w:val="20"/>
        </w:rPr>
      </w:pPr>
      <w:r>
        <w:rPr>
          <w:sz w:val="20"/>
          <w:szCs w:val="20"/>
        </w:rPr>
      </w:r>
      <w:r/>
    </w:p>
    <w:p>
      <w:pPr>
        <w:pStyle w:val="617"/>
        <w:numPr>
          <w:ilvl w:val="0"/>
          <w:numId w:val="1"/>
        </w:numPr>
        <w:jc w:val="both"/>
        <w:rPr>
          <w:sz w:val="21"/>
          <w:szCs w:val="21"/>
          <w:u w:val="single"/>
        </w:rPr>
      </w:pPr>
      <w:r>
        <w:rPr>
          <w:sz w:val="21"/>
          <w:szCs w:val="21"/>
          <w:u w:val="single"/>
        </w:rPr>
        <w:t xml:space="preserve">Divers</w:t>
      </w:r>
      <w:r/>
    </w:p>
    <w:p>
      <w:pPr>
        <w:pStyle w:val="617"/>
        <w:jc w:val="both"/>
        <w:rPr>
          <w:sz w:val="21"/>
          <w:szCs w:val="21"/>
          <w:u w:val="single"/>
        </w:rPr>
      </w:pPr>
      <w:r>
        <w:rPr>
          <w:sz w:val="21"/>
          <w:szCs w:val="21"/>
          <w:u w:val="single"/>
        </w:rPr>
      </w:r>
      <w:r/>
    </w:p>
    <w:p>
      <w:pPr>
        <w:jc w:val="both"/>
        <w:rPr>
          <w:sz w:val="21"/>
          <w:szCs w:val="21"/>
          <w:u w:val="single"/>
        </w:rPr>
      </w:pPr>
      <w:r>
        <w:rPr>
          <w:rFonts w:ascii="Calibri" w:hAnsi="Calibri" w:cs="Calibri" w:eastAsia="Times New Roman"/>
          <w:color w:val="000000"/>
          <w:sz w:val="20"/>
          <w:szCs w:val="20"/>
          <w:lang w:eastAsia="fr-FR"/>
        </w:rPr>
        <w:t xml:space="preserve">Muriel rapporte une action menée par le groupe biosécurité clinique qui a  été contacté par les fournisseurs pour engager une démarche</w:t>
      </w:r>
      <w:r>
        <w:rPr>
          <w:rFonts w:ascii="Calibri" w:hAnsi="Calibri" w:cs="Calibri" w:eastAsia="Times New Roman"/>
          <w:color w:val="000000"/>
          <w:sz w:val="20"/>
          <w:szCs w:val="20"/>
          <w:lang w:eastAsia="fr-FR"/>
        </w:rPr>
        <w:t xml:space="preserve"> d’évaluation en vue d’une amélioration des pratiques. Le contexte étant la manipulation des échantillons humains qui en clinique</w:t>
      </w:r>
      <w:r>
        <w:rPr>
          <w:rFonts w:ascii="Calibri" w:hAnsi="Calibri" w:cs="Calibri" w:eastAsia="Times New Roman"/>
          <w:color w:val="000000"/>
          <w:sz w:val="20"/>
          <w:szCs w:val="20"/>
          <w:lang w:eastAsia="fr-FR"/>
        </w:rPr>
        <w:t xml:space="preserve"> est effectué sans enceinte de protection PSM. Au niveau des installations modernes les recours à des automates semble avoir résolu ce point car il n’y a plus de manipulation par l’opérateur et la neutralisation du risque biologique par fixation de l’écha</w:t>
      </w:r>
      <w:r>
        <w:rPr>
          <w:rFonts w:ascii="Calibri" w:hAnsi="Calibri" w:cs="Calibri" w:eastAsia="Times New Roman"/>
          <w:color w:val="000000"/>
          <w:sz w:val="20"/>
          <w:szCs w:val="20"/>
          <w:lang w:eastAsia="fr-FR"/>
        </w:rPr>
        <w:t xml:space="preserve">ntillon est immédiate. Sur le site de Cochin, les manipulations de routine sont ainsi sécurisées. En revanche ce qui sort de l’exploration de routine (diagnostique), la manipulation des échantillons et les marquages sont réalisés sans enceinte de sécurité.</w:t>
      </w:r>
      <w:r/>
    </w:p>
    <w:p>
      <w:p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Catherine </w:t>
      </w:r>
      <w:r>
        <w:rPr>
          <w:rFonts w:ascii="Calibri" w:hAnsi="Calibri" w:cs="Calibri" w:eastAsia="Times New Roman"/>
          <w:color w:val="000000"/>
          <w:sz w:val="20"/>
          <w:szCs w:val="20"/>
          <w:lang w:eastAsia="fr-FR"/>
        </w:rPr>
        <w:t xml:space="preserve">présente</w:t>
      </w:r>
      <w:r>
        <w:rPr>
          <w:rFonts w:ascii="Calibri" w:hAnsi="Calibri" w:cs="Calibri" w:eastAsia="Times New Roman"/>
          <w:color w:val="000000"/>
          <w:sz w:val="20"/>
          <w:szCs w:val="20"/>
          <w:lang w:eastAsia="fr-FR"/>
        </w:rPr>
        <w:t xml:space="preserve"> l’initiative du fournisseur BD autour d’un </w:t>
      </w:r>
      <w:r>
        <w:rPr>
          <w:rFonts w:ascii="Calibri" w:hAnsi="Calibri" w:cs="Calibri" w:eastAsia="Times New Roman"/>
          <w:color w:val="000000"/>
          <w:sz w:val="20"/>
          <w:szCs w:val="20"/>
          <w:lang w:eastAsia="fr-FR"/>
        </w:rPr>
        <w:t xml:space="preserve">webinar</w:t>
      </w:r>
      <w:r>
        <w:rPr>
          <w:rFonts w:ascii="Calibri" w:hAnsi="Calibri" w:cs="Calibri" w:eastAsia="Times New Roman"/>
          <w:color w:val="000000"/>
          <w:sz w:val="20"/>
          <w:szCs w:val="20"/>
          <w:lang w:eastAsia="fr-FR"/>
        </w:rPr>
        <w:t xml:space="preserve"> organisé par Olivier Munoz</w:t>
      </w:r>
      <w:r>
        <w:rPr>
          <w:rFonts w:ascii="Calibri" w:hAnsi="Calibri" w:cs="Calibri" w:eastAsia="Times New Roman"/>
          <w:color w:val="000000"/>
          <w:sz w:val="20"/>
          <w:szCs w:val="20"/>
          <w:lang w:eastAsia="fr-FR"/>
        </w:rPr>
        <w:t xml:space="preserve">. Un</w:t>
      </w:r>
      <w:r>
        <w:rPr>
          <w:rFonts w:ascii="Calibri" w:hAnsi="Calibri" w:cs="Calibri" w:eastAsia="Times New Roman"/>
          <w:color w:val="000000"/>
          <w:sz w:val="20"/>
          <w:szCs w:val="20"/>
          <w:lang w:eastAsia="fr-FR"/>
        </w:rPr>
        <w:t xml:space="preserve"> questionnaire </w:t>
      </w:r>
      <w:r>
        <w:rPr>
          <w:rFonts w:ascii="Calibri" w:hAnsi="Calibri" w:cs="Calibri" w:eastAsia="Times New Roman"/>
          <w:color w:val="000000"/>
          <w:sz w:val="20"/>
          <w:szCs w:val="20"/>
          <w:lang w:eastAsia="fr-FR"/>
        </w:rPr>
        <w:t xml:space="preserve">pour réaliser l’état des lieux sur le sujet de la biosécurité en clinique</w:t>
      </w:r>
      <w:r>
        <w:rPr>
          <w:rFonts w:ascii="Calibri" w:hAnsi="Calibri" w:cs="Calibri" w:eastAsia="Times New Roman"/>
          <w:color w:val="000000"/>
          <w:sz w:val="20"/>
          <w:szCs w:val="20"/>
          <w:lang w:eastAsia="fr-FR"/>
        </w:rPr>
        <w:t xml:space="preserve"> </w:t>
      </w:r>
      <w:r>
        <w:rPr>
          <w:rFonts w:ascii="Calibri" w:hAnsi="Calibri" w:cs="Calibri" w:eastAsia="Times New Roman"/>
          <w:color w:val="000000"/>
          <w:sz w:val="20"/>
          <w:szCs w:val="20"/>
          <w:lang w:eastAsia="fr-FR"/>
        </w:rPr>
        <w:t xml:space="preserve">a été soumis à BD et </w:t>
      </w:r>
      <w:r>
        <w:rPr>
          <w:rFonts w:ascii="Calibri" w:hAnsi="Calibri" w:cs="Calibri" w:eastAsia="Times New Roman"/>
          <w:color w:val="000000"/>
          <w:sz w:val="20"/>
          <w:szCs w:val="20"/>
          <w:lang w:eastAsia="fr-FR"/>
        </w:rPr>
        <w:t xml:space="preserve">Beckman</w:t>
      </w:r>
      <w:r>
        <w:rPr>
          <w:rFonts w:ascii="Calibri" w:hAnsi="Calibri" w:cs="Calibri" w:eastAsia="Times New Roman"/>
          <w:color w:val="000000"/>
          <w:sz w:val="20"/>
          <w:szCs w:val="20"/>
          <w:lang w:eastAsia="fr-FR"/>
        </w:rPr>
        <w:t xml:space="preserve"> Coulter et diffusé à tous les labos hospitaliers. Les points abordés relèvent des prélèvemen</w:t>
      </w:r>
      <w:r>
        <w:rPr>
          <w:rFonts w:ascii="Calibri" w:hAnsi="Calibri" w:cs="Calibri" w:eastAsia="Times New Roman"/>
          <w:color w:val="000000"/>
          <w:sz w:val="20"/>
          <w:szCs w:val="20"/>
          <w:lang w:eastAsia="fr-FR"/>
        </w:rPr>
        <w:t xml:space="preserve">ts, marquages, stockage des échantillons, déchets dont les effluents mais pas seulement. Les répondants sont des médecins, des ITA et personnels techniques. Les données ont été confiées aux industriels pour exploitation mais pas encore analysés en interne.</w:t>
      </w:r>
      <w:r/>
    </w:p>
    <w:p>
      <w:pPr>
        <w:jc w:val="both"/>
        <w:spacing w:after="100" w:afterAutospacing="1" w:before="100" w:beforeAutospacing="1"/>
        <w:rPr>
          <w:rFonts w:ascii="Calibri" w:hAnsi="Calibri" w:cs="Calibri" w:eastAsia="Times New Roman"/>
          <w:color w:val="000000"/>
          <w:sz w:val="20"/>
          <w:szCs w:val="20"/>
          <w:lang w:eastAsia="fr-FR"/>
        </w:rPr>
      </w:pPr>
      <w:r>
        <w:rPr>
          <w:rFonts w:ascii="Wingdings" w:hAnsi="Wingdings" w:cs="Wingdings" w:eastAsia="Wingdings"/>
          <w:color w:val="000000"/>
          <w:sz w:val="20"/>
          <w:szCs w:val="20"/>
          <w:u w:val="single"/>
          <w:lang w:eastAsia="fr-FR"/>
        </w:rPr>
      </w:r>
      <w:r>
        <w:rPr>
          <w:rFonts w:ascii="Calibri" w:hAnsi="Calibri" w:cs="Calibri" w:eastAsia="Times New Roman"/>
          <w:color w:val="000000"/>
          <w:sz w:val="20"/>
          <w:szCs w:val="20"/>
          <w:u w:val="single"/>
          <w:lang w:eastAsia="fr-FR"/>
        </w:rPr>
        <w:t xml:space="preserve">Actions du groupes prévues</w:t>
      </w:r>
      <w:r>
        <w:rPr>
          <w:rFonts w:ascii="Calibri" w:hAnsi="Calibri" w:cs="Calibri" w:eastAsia="Times New Roman"/>
          <w:color w:val="000000"/>
          <w:sz w:val="20"/>
          <w:szCs w:val="20"/>
          <w:lang w:eastAsia="fr-FR"/>
        </w:rPr>
        <w:t xml:space="preserve"> :</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Réunions 2 fois par an prévues + actions individuelles</w:t>
      </w:r>
      <w:r>
        <w:rPr>
          <w:rFonts w:ascii="Calibri" w:hAnsi="Calibri" w:cs="Calibri" w:eastAsia="Times New Roman"/>
          <w:color w:val="000000"/>
          <w:sz w:val="20"/>
          <w:szCs w:val="20"/>
          <w:lang w:eastAsia="fr-FR"/>
        </w:rPr>
        <w:t xml:space="preserve"> encouragées </w:t>
      </w:r>
      <w:r>
        <w:rPr>
          <w:rFonts w:ascii="Calibri" w:hAnsi="Calibri" w:cs="Calibri" w:eastAsia="Times New Roman"/>
          <w:color w:val="000000"/>
          <w:sz w:val="20"/>
          <w:szCs w:val="20"/>
          <w:lang w:eastAsia="fr-FR"/>
        </w:rPr>
        <w:t xml:space="preserve">pour faire avancer les actions</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Finalisation de la version 2 du questionnaire</w:t>
      </w:r>
      <w:r>
        <w:rPr>
          <w:rFonts w:ascii="Calibri" w:hAnsi="Calibri" w:cs="Calibri" w:eastAsia="Times New Roman"/>
          <w:color w:val="000000"/>
          <w:sz w:val="20"/>
          <w:szCs w:val="20"/>
          <w:lang w:eastAsia="fr-FR"/>
        </w:rPr>
        <w:t xml:space="preserve"> « Déchets »</w:t>
      </w:r>
      <w:r>
        <w:rPr>
          <w:rFonts w:ascii="Calibri" w:hAnsi="Calibri" w:cs="Calibri" w:eastAsia="Times New Roman"/>
          <w:color w:val="000000"/>
          <w:sz w:val="20"/>
          <w:szCs w:val="20"/>
          <w:lang w:eastAsia="fr-FR"/>
        </w:rPr>
        <w:t xml:space="preserve"> d’ici la fin d’année pour envoi mi-janvier au moment du mail de relance pour les adhésions. </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Poursuivre le travail autour de la réduction du volume des déchets et de leur impact environnemental : privilégier </w:t>
      </w:r>
      <w:r>
        <w:rPr>
          <w:rFonts w:ascii="Calibri" w:hAnsi="Calibri" w:cs="Calibri" w:eastAsia="Times New Roman"/>
          <w:color w:val="000000"/>
          <w:sz w:val="20"/>
          <w:szCs w:val="20"/>
          <w:lang w:eastAsia="fr-FR"/>
        </w:rPr>
        <w:t xml:space="preserve">notamment </w:t>
      </w:r>
      <w:r>
        <w:rPr>
          <w:rFonts w:ascii="Calibri" w:hAnsi="Calibri" w:cs="Calibri" w:eastAsia="Times New Roman"/>
          <w:color w:val="000000"/>
          <w:sz w:val="20"/>
          <w:szCs w:val="20"/>
          <w:lang w:eastAsia="fr-FR"/>
        </w:rPr>
        <w:t xml:space="preserve">les liquides de gaines contenant moins d’adjuvant chimiques toxiques</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Préparation du questionnaire fournisseurs – A faire évaluer par l’AFC avant diffusion en externe</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Mise à jour du logo </w:t>
      </w:r>
      <w:r>
        <w:rPr>
          <w:rFonts w:ascii="Calibri" w:hAnsi="Calibri" w:cs="Calibri" w:eastAsia="Times New Roman"/>
          <w:color w:val="000000"/>
          <w:sz w:val="20"/>
          <w:szCs w:val="20"/>
          <w:lang w:eastAsia="fr-FR"/>
        </w:rPr>
        <w:t xml:space="preserve">« </w:t>
      </w:r>
      <w:r>
        <w:rPr>
          <w:rFonts w:ascii="Calibri" w:hAnsi="Calibri" w:cs="Calibri" w:eastAsia="Times New Roman"/>
          <w:color w:val="000000"/>
          <w:sz w:val="20"/>
          <w:szCs w:val="20"/>
          <w:lang w:eastAsia="fr-FR"/>
        </w:rPr>
        <w:t xml:space="preserve">Biosécurité </w:t>
      </w:r>
      <w:r>
        <w:rPr>
          <w:rFonts w:ascii="Calibri" w:hAnsi="Calibri" w:cs="Calibri" w:eastAsia="Times New Roman"/>
          <w:color w:val="000000"/>
          <w:sz w:val="20"/>
          <w:szCs w:val="20"/>
          <w:lang w:eastAsia="fr-FR"/>
        </w:rPr>
        <w:t xml:space="preserve">&amp;</w:t>
      </w:r>
      <w:r>
        <w:rPr>
          <w:rFonts w:ascii="Calibri" w:hAnsi="Calibri" w:cs="Calibri" w:eastAsia="Times New Roman"/>
          <w:color w:val="000000"/>
          <w:sz w:val="20"/>
          <w:szCs w:val="20"/>
          <w:lang w:eastAsia="fr-FR"/>
        </w:rPr>
        <w:t xml:space="preserve"> Environnement</w:t>
      </w:r>
      <w:r>
        <w:rPr>
          <w:rFonts w:ascii="Calibri" w:hAnsi="Calibri" w:cs="Calibri" w:eastAsia="Times New Roman"/>
          <w:color w:val="000000"/>
          <w:sz w:val="20"/>
          <w:szCs w:val="20"/>
          <w:lang w:eastAsia="fr-FR"/>
        </w:rPr>
        <w:t xml:space="preserve"> »</w:t>
      </w:r>
      <w:r/>
    </w:p>
    <w:p>
      <w:pPr>
        <w:pStyle w:val="617"/>
        <w:numPr>
          <w:ilvl w:val="0"/>
          <w:numId w:val="6"/>
        </w:numPr>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t xml:space="preserve">P</w:t>
      </w:r>
      <w:r>
        <w:rPr>
          <w:rFonts w:ascii="Calibri" w:hAnsi="Calibri" w:cs="Calibri" w:eastAsia="Times New Roman"/>
          <w:color w:val="000000"/>
          <w:sz w:val="20"/>
          <w:szCs w:val="20"/>
          <w:lang w:eastAsia="fr-FR"/>
        </w:rPr>
        <w:t xml:space="preserve">résenter </w:t>
      </w:r>
      <w:r>
        <w:rPr>
          <w:rFonts w:ascii="Calibri" w:hAnsi="Calibri" w:cs="Calibri" w:eastAsia="Times New Roman"/>
          <w:color w:val="000000"/>
          <w:sz w:val="20"/>
          <w:szCs w:val="20"/>
          <w:lang w:eastAsia="fr-FR"/>
        </w:rPr>
        <w:t xml:space="preserve">des actions</w:t>
      </w:r>
      <w:r>
        <w:rPr>
          <w:rFonts w:ascii="Calibri" w:hAnsi="Calibri" w:cs="Calibri" w:eastAsia="Times New Roman"/>
          <w:color w:val="000000"/>
          <w:sz w:val="20"/>
          <w:szCs w:val="20"/>
          <w:lang w:eastAsia="fr-FR"/>
        </w:rPr>
        <w:t xml:space="preserve"> et recommandations </w:t>
      </w:r>
      <w:r>
        <w:rPr>
          <w:rFonts w:ascii="Calibri" w:hAnsi="Calibri" w:cs="Calibri" w:eastAsia="Times New Roman"/>
          <w:color w:val="000000"/>
          <w:sz w:val="20"/>
          <w:szCs w:val="20"/>
          <w:lang w:eastAsia="fr-FR"/>
        </w:rPr>
        <w:t xml:space="preserve">du groupe biosécurité à l’AFC</w:t>
      </w:r>
      <w:r>
        <w:rPr>
          <w:rFonts w:ascii="Calibri" w:hAnsi="Calibri" w:cs="Calibri" w:eastAsia="Times New Roman"/>
          <w:color w:val="000000"/>
          <w:sz w:val="20"/>
          <w:szCs w:val="20"/>
          <w:lang w:eastAsia="fr-FR"/>
        </w:rPr>
        <w:t xml:space="preserve"> : </w:t>
      </w:r>
      <w:r>
        <w:rPr>
          <w:rFonts w:ascii="Calibri" w:hAnsi="Calibri" w:cs="Calibri" w:eastAsia="Times New Roman"/>
          <w:color w:val="000000"/>
          <w:sz w:val="20"/>
          <w:szCs w:val="20"/>
          <w:lang w:eastAsia="fr-FR"/>
        </w:rPr>
        <w:t xml:space="preserve">créneau dans la Session Plateformes / Standardisation.</w:t>
      </w:r>
      <w:r/>
    </w:p>
    <w:p>
      <w:pPr>
        <w:pStyle w:val="617"/>
        <w:jc w:val="both"/>
        <w:spacing w:after="100" w:afterAutospacing="1" w:before="100" w:beforeAutospacing="1"/>
        <w:rPr>
          <w:rFonts w:ascii="Calibri" w:hAnsi="Calibri" w:cs="Calibri" w:eastAsia="Times New Roman"/>
          <w:color w:val="000000"/>
          <w:sz w:val="20"/>
          <w:szCs w:val="20"/>
          <w:lang w:eastAsia="fr-FR"/>
        </w:rPr>
      </w:pPr>
      <w:r>
        <w:rPr>
          <w:rFonts w:ascii="Calibri" w:hAnsi="Calibri" w:cs="Calibri" w:eastAsia="Times New Roman"/>
          <w:color w:val="000000"/>
          <w:sz w:val="20"/>
          <w:szCs w:val="20"/>
          <w:lang w:eastAsia="fr-FR"/>
        </w:rPr>
      </w:r>
      <w:r/>
    </w:p>
    <w:p>
      <w:pPr>
        <w:jc w:val="left"/>
        <w:rPr>
          <w:rFonts w:ascii="AppleSystemUIFont" w:hAnsi="AppleSystemUIFont" w:cs="AppleSystemUIFont"/>
          <w:sz w:val="20"/>
          <w:szCs w:val="20"/>
        </w:rPr>
      </w:pPr>
      <w:r>
        <w:rPr>
          <w:rFonts w:ascii="Calibri" w:hAnsi="Calibri" w:cs="Calibri" w:eastAsia="Times New Roman"/>
          <w:color w:val="000000"/>
          <w:sz w:val="20"/>
          <w:szCs w:val="20"/>
          <w:lang w:eastAsia="fr-FR"/>
        </w:rPr>
        <w:t xml:space="preserve">Il est rappelé l’espace documentaire mis à disposition </w:t>
      </w:r>
      <w:r>
        <w:rPr>
          <w:rFonts w:ascii="Calibri" w:hAnsi="Calibri" w:cs="Calibri" w:eastAsia="Times New Roman"/>
          <w:color w:val="000000"/>
          <w:sz w:val="20"/>
          <w:szCs w:val="20"/>
          <w:lang w:eastAsia="fr-FR"/>
        </w:rPr>
        <w:t xml:space="preserve">pour le groupe</w:t>
      </w:r>
      <w:r>
        <w:rPr>
          <w:rFonts w:ascii="Calibri" w:hAnsi="Calibri" w:cs="Calibri" w:eastAsia="Times New Roman"/>
          <w:color w:val="000000"/>
          <w:sz w:val="20"/>
          <w:szCs w:val="20"/>
          <w:lang w:eastAsia="fr-FR"/>
        </w:rPr>
        <w:t xml:space="preserve"> : </w:t>
      </w:r>
      <w:hyperlink r:id="rId10" w:tooltip="https://nuage.ipmc.cnrs.fr/s/y5LpG25oQLGtsgX" w:history="1">
        <w:r>
          <w:rPr>
            <w:rFonts w:ascii="AppleSystemUIFont" w:hAnsi="AppleSystemUIFont" w:cs="AppleSystemUIFont"/>
            <w:color w:val="DCA10D"/>
            <w:sz w:val="20"/>
            <w:szCs w:val="20"/>
            <w:u w:val="single"/>
          </w:rPr>
          <w:t xml:space="preserve">https://nuage.ipmc.cnrs.fr/s/y5LpG25oQLGtsgX</w:t>
        </w:r>
      </w:hyperlink>
      <w:r/>
      <w:r/>
    </w:p>
    <w:p>
      <w:pPr>
        <w:jc w:val="left"/>
        <w:rPr>
          <w:rFonts w:ascii="AppleSystemUIFont" w:hAnsi="AppleSystemUIFont" w:cs="AppleSystemUIFont"/>
          <w:sz w:val="20"/>
          <w:szCs w:val="20"/>
        </w:rPr>
      </w:pPr>
      <w:r>
        <w:rPr>
          <w:rFonts w:ascii="AppleSystemUIFont" w:hAnsi="AppleSystemUIFont" w:cs="AppleSystemUIFont"/>
          <w:sz w:val="20"/>
          <w:szCs w:val="20"/>
        </w:rPr>
      </w:r>
      <w:r/>
    </w:p>
    <w:p>
      <w:pPr>
        <w:jc w:val="both"/>
        <w:spacing w:after="100" w:afterAutospacing="1" w:before="100" w:beforeAutospacing="1"/>
        <w:rPr>
          <w:rFonts w:ascii="Calibri" w:hAnsi="Calibri" w:cs="Calibri" w:eastAsia="Times New Roman"/>
          <w:color w:val="000000"/>
          <w:sz w:val="21"/>
          <w:szCs w:val="21"/>
          <w:u w:val="single"/>
          <w:lang w:eastAsia="fr-FR"/>
        </w:rPr>
      </w:pPr>
      <w:r>
        <w:rPr>
          <w:rFonts w:ascii="Wingdings" w:hAnsi="Wingdings" w:cs="Wingdings" w:eastAsia="Wingdings"/>
          <w:color w:val="000000"/>
          <w:sz w:val="21"/>
          <w:szCs w:val="21"/>
          <w:lang w:eastAsia="fr-FR"/>
        </w:rPr>
      </w:r>
      <w:r>
        <w:rPr>
          <w:rFonts w:ascii="Calibri" w:hAnsi="Calibri" w:cs="Calibri" w:eastAsia="Times New Roman"/>
          <w:color w:val="000000"/>
          <w:sz w:val="21"/>
          <w:szCs w:val="21"/>
          <w:u w:val="single"/>
          <w:lang w:eastAsia="fr-FR"/>
        </w:rPr>
        <w:t xml:space="preserve">Prochaine réunion fixée le Mardi 22 Mars</w:t>
      </w:r>
      <w:r>
        <w:rPr>
          <w:rFonts w:ascii="Calibri" w:hAnsi="Calibri" w:cs="Calibri" w:eastAsia="Times New Roman"/>
          <w:color w:val="000000"/>
          <w:sz w:val="21"/>
          <w:szCs w:val="21"/>
          <w:u w:val="single"/>
          <w:lang w:eastAsia="fr-FR"/>
        </w:rPr>
        <w:t xml:space="preserve"> 2022</w:t>
      </w:r>
      <w:r>
        <w:rPr>
          <w:rFonts w:ascii="Calibri" w:hAnsi="Calibri" w:cs="Calibri" w:eastAsia="Times New Roman"/>
          <w:color w:val="000000"/>
          <w:sz w:val="21"/>
          <w:szCs w:val="21"/>
          <w:u w:val="single"/>
          <w:lang w:eastAsia="fr-FR"/>
        </w:rPr>
        <w:t xml:space="preserve"> – 14h</w:t>
      </w:r>
      <w:r/>
    </w:p>
    <w:sectPr>
      <w:footnotePr/>
      <w:endnotePr/>
      <w:type w:val="nextPage"/>
      <w:pgSz w:w="11900" w:h="16840"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plesystemuifont">
    <w:panose1 w:val="020B0603030804020204"/>
  </w:font>
  <w:font w:name="Calibri">
    <w:panose1 w:val="020F0502020204030204"/>
  </w:font>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o"/>
      <w:lvlJc w:val="left"/>
      <w:pPr>
        <w:ind w:left="720" w:hanging="360"/>
      </w:pPr>
      <w:rPr>
        <w:rFonts w:ascii="Courier New" w:hAnsi="Courier New" w:cs="Courier New"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6"/>
      <w:numFmt w:val="bullet"/>
      <w:isLgl w:val="false"/>
      <w:suff w:val="tab"/>
      <w:lvlText w:val="-"/>
      <w:lvlJc w:val="left"/>
      <w:pPr>
        <w:ind w:left="720" w:hanging="360"/>
      </w:pPr>
      <w:rPr>
        <w:rFonts w:ascii="Calibri" w:hAnsi="Calibri" w:cs="Calibri"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6"/>
      <w:numFmt w:val="bullet"/>
      <w:isLgl w:val="false"/>
      <w:suff w:val="tab"/>
      <w:lvlText w:val="-"/>
      <w:lvlJc w:val="left"/>
      <w:pPr>
        <w:ind w:left="720" w:hanging="360"/>
      </w:pPr>
      <w:rPr>
        <w:rFonts w:ascii="Calibri" w:hAnsi="Calibri" w:cs="Calibri"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6"/>
      <w:numFmt w:val="bullet"/>
      <w:isLgl w:val="false"/>
      <w:suff w:val="tab"/>
      <w:lvlText w:val="-"/>
      <w:lvlJc w:val="left"/>
      <w:pPr>
        <w:ind w:left="720" w:hanging="360"/>
      </w:pPr>
      <w:rPr>
        <w:rFonts w:ascii="Calibri" w:hAnsi="Calibri" w:cs="Calibri"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o"/>
      <w:lvlJc w:val="left"/>
      <w:pPr>
        <w:ind w:left="1440" w:hanging="360"/>
      </w:pPr>
      <w:rPr>
        <w:rFonts w:ascii="Courier New" w:hAnsi="Courier New" w:cs="Courier New" w:hint="default"/>
      </w:rPr>
    </w:lvl>
    <w:lvl w:ilvl="1">
      <w:start w:val="1"/>
      <w:numFmt w:val="bullet"/>
      <w:isLgl w:val="false"/>
      <w:suff w:val="tab"/>
      <w:lvlText w:val="o"/>
      <w:lvlJc w:val="left"/>
      <w:pPr>
        <w:ind w:left="2160" w:hanging="360"/>
      </w:pPr>
      <w:rPr>
        <w:rFonts w:ascii="Courier New" w:hAnsi="Courier New" w:cs="Courier New"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5">
    <w:multiLevelType w:val="hybridMultilevel"/>
    <w:lvl w:ilvl="0">
      <w:start w:val="16"/>
      <w:numFmt w:val="bullet"/>
      <w:isLgl w:val="false"/>
      <w:suff w:val="tab"/>
      <w:lvlText w:val="-"/>
      <w:lvlJc w:val="left"/>
      <w:pPr>
        <w:ind w:left="720" w:hanging="360"/>
      </w:pPr>
      <w:rPr>
        <w:rFonts w:ascii="Calibri" w:hAnsi="Calibri" w:cs="Calibri"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4"/>
        <w:szCs w:val="24"/>
        <w:lang w:val="fr-FR"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10"/>
    <w:next w:val="61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11"/>
    <w:link w:val="11"/>
    <w:uiPriority w:val="9"/>
    <w:rPr>
      <w:rFonts w:ascii="Arial" w:hAnsi="Arial" w:cs="Arial" w:eastAsia="Arial"/>
      <w:sz w:val="40"/>
      <w:szCs w:val="40"/>
    </w:rPr>
  </w:style>
  <w:style w:type="paragraph" w:styleId="13">
    <w:name w:val="Heading 2"/>
    <w:basedOn w:val="610"/>
    <w:next w:val="61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11"/>
    <w:link w:val="13"/>
    <w:uiPriority w:val="9"/>
    <w:rPr>
      <w:rFonts w:ascii="Arial" w:hAnsi="Arial" w:cs="Arial" w:eastAsia="Arial"/>
      <w:sz w:val="34"/>
    </w:rPr>
  </w:style>
  <w:style w:type="paragraph" w:styleId="15">
    <w:name w:val="Heading 3"/>
    <w:basedOn w:val="610"/>
    <w:next w:val="61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11"/>
    <w:link w:val="15"/>
    <w:uiPriority w:val="9"/>
    <w:rPr>
      <w:rFonts w:ascii="Arial" w:hAnsi="Arial" w:cs="Arial" w:eastAsia="Arial"/>
      <w:sz w:val="30"/>
      <w:szCs w:val="30"/>
    </w:rPr>
  </w:style>
  <w:style w:type="paragraph" w:styleId="17">
    <w:name w:val="Heading 4"/>
    <w:basedOn w:val="610"/>
    <w:next w:val="61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11"/>
    <w:link w:val="17"/>
    <w:uiPriority w:val="9"/>
    <w:rPr>
      <w:rFonts w:ascii="Arial" w:hAnsi="Arial" w:cs="Arial" w:eastAsia="Arial"/>
      <w:b/>
      <w:bCs/>
      <w:sz w:val="26"/>
      <w:szCs w:val="26"/>
    </w:rPr>
  </w:style>
  <w:style w:type="paragraph" w:styleId="19">
    <w:name w:val="Heading 5"/>
    <w:basedOn w:val="610"/>
    <w:next w:val="61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11"/>
    <w:link w:val="19"/>
    <w:uiPriority w:val="9"/>
    <w:rPr>
      <w:rFonts w:ascii="Arial" w:hAnsi="Arial" w:cs="Arial" w:eastAsia="Arial"/>
      <w:b/>
      <w:bCs/>
      <w:sz w:val="24"/>
      <w:szCs w:val="24"/>
    </w:rPr>
  </w:style>
  <w:style w:type="paragraph" w:styleId="21">
    <w:name w:val="Heading 6"/>
    <w:basedOn w:val="610"/>
    <w:next w:val="61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11"/>
    <w:link w:val="21"/>
    <w:uiPriority w:val="9"/>
    <w:rPr>
      <w:rFonts w:ascii="Arial" w:hAnsi="Arial" w:cs="Arial" w:eastAsia="Arial"/>
      <w:b/>
      <w:bCs/>
      <w:sz w:val="22"/>
      <w:szCs w:val="22"/>
    </w:rPr>
  </w:style>
  <w:style w:type="paragraph" w:styleId="23">
    <w:name w:val="Heading 7"/>
    <w:basedOn w:val="610"/>
    <w:next w:val="61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11"/>
    <w:link w:val="23"/>
    <w:uiPriority w:val="9"/>
    <w:rPr>
      <w:rFonts w:ascii="Arial" w:hAnsi="Arial" w:cs="Arial" w:eastAsia="Arial"/>
      <w:b/>
      <w:bCs/>
      <w:i/>
      <w:iCs/>
      <w:sz w:val="22"/>
      <w:szCs w:val="22"/>
    </w:rPr>
  </w:style>
  <w:style w:type="paragraph" w:styleId="25">
    <w:name w:val="Heading 8"/>
    <w:basedOn w:val="610"/>
    <w:next w:val="61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11"/>
    <w:link w:val="25"/>
    <w:uiPriority w:val="9"/>
    <w:rPr>
      <w:rFonts w:ascii="Arial" w:hAnsi="Arial" w:cs="Arial" w:eastAsia="Arial"/>
      <w:i/>
      <w:iCs/>
      <w:sz w:val="22"/>
      <w:szCs w:val="22"/>
    </w:rPr>
  </w:style>
  <w:style w:type="paragraph" w:styleId="27">
    <w:name w:val="Heading 9"/>
    <w:basedOn w:val="610"/>
    <w:next w:val="61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11"/>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610"/>
    <w:next w:val="610"/>
    <w:link w:val="33"/>
    <w:qFormat/>
    <w:uiPriority w:val="10"/>
    <w:rPr>
      <w:sz w:val="48"/>
      <w:szCs w:val="48"/>
    </w:rPr>
    <w:pPr>
      <w:contextualSpacing w:val="true"/>
      <w:spacing w:after="200" w:before="300"/>
    </w:pPr>
  </w:style>
  <w:style w:type="character" w:styleId="33">
    <w:name w:val="Title Char"/>
    <w:basedOn w:val="611"/>
    <w:link w:val="32"/>
    <w:uiPriority w:val="10"/>
    <w:rPr>
      <w:sz w:val="48"/>
      <w:szCs w:val="48"/>
    </w:rPr>
  </w:style>
  <w:style w:type="paragraph" w:styleId="34">
    <w:name w:val="Subtitle"/>
    <w:basedOn w:val="610"/>
    <w:next w:val="610"/>
    <w:link w:val="35"/>
    <w:qFormat/>
    <w:uiPriority w:val="11"/>
    <w:rPr>
      <w:sz w:val="24"/>
      <w:szCs w:val="24"/>
    </w:rPr>
    <w:pPr>
      <w:spacing w:after="200" w:before="200"/>
    </w:pPr>
  </w:style>
  <w:style w:type="character" w:styleId="35">
    <w:name w:val="Subtitle Char"/>
    <w:basedOn w:val="611"/>
    <w:link w:val="34"/>
    <w:uiPriority w:val="11"/>
    <w:rPr>
      <w:sz w:val="24"/>
      <w:szCs w:val="24"/>
    </w:rPr>
  </w:style>
  <w:style w:type="paragraph" w:styleId="36">
    <w:name w:val="Quote"/>
    <w:basedOn w:val="610"/>
    <w:next w:val="610"/>
    <w:link w:val="37"/>
    <w:qFormat/>
    <w:uiPriority w:val="29"/>
    <w:rPr>
      <w:i/>
    </w:rPr>
    <w:pPr>
      <w:ind w:left="720" w:right="720"/>
    </w:pPr>
  </w:style>
  <w:style w:type="character" w:styleId="37">
    <w:name w:val="Quote Char"/>
    <w:link w:val="36"/>
    <w:uiPriority w:val="29"/>
    <w:rPr>
      <w:i/>
    </w:rPr>
  </w:style>
  <w:style w:type="paragraph" w:styleId="38">
    <w:name w:val="Intense Quote"/>
    <w:basedOn w:val="610"/>
    <w:next w:val="610"/>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10"/>
    <w:link w:val="41"/>
    <w:uiPriority w:val="99"/>
    <w:unhideWhenUsed/>
    <w:pPr>
      <w:spacing w:lineRule="auto" w:line="240" w:after="0"/>
      <w:tabs>
        <w:tab w:val="center" w:pos="7143" w:leader="none"/>
        <w:tab w:val="right" w:pos="14287" w:leader="none"/>
      </w:tabs>
    </w:pPr>
  </w:style>
  <w:style w:type="character" w:styleId="41">
    <w:name w:val="Header Char"/>
    <w:basedOn w:val="611"/>
    <w:link w:val="40"/>
    <w:uiPriority w:val="99"/>
  </w:style>
  <w:style w:type="paragraph" w:styleId="42">
    <w:name w:val="Footer"/>
    <w:basedOn w:val="610"/>
    <w:link w:val="45"/>
    <w:uiPriority w:val="99"/>
    <w:unhideWhenUsed/>
    <w:pPr>
      <w:spacing w:lineRule="auto" w:line="240" w:after="0"/>
      <w:tabs>
        <w:tab w:val="center" w:pos="7143" w:leader="none"/>
        <w:tab w:val="right" w:pos="14287" w:leader="none"/>
      </w:tabs>
    </w:pPr>
  </w:style>
  <w:style w:type="character" w:styleId="43">
    <w:name w:val="Footer Char"/>
    <w:basedOn w:val="611"/>
    <w:link w:val="42"/>
    <w:uiPriority w:val="99"/>
  </w:style>
  <w:style w:type="paragraph" w:styleId="44">
    <w:name w:val="Caption"/>
    <w:basedOn w:val="610"/>
    <w:next w:val="610"/>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1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1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1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1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1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1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1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1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1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1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1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1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1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1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1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1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1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1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1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1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1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1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1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1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1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1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1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1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1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1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1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1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1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1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1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1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1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1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1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1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1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1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1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1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1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1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1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1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1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1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1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1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1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1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1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1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1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1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1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1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1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1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1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11"/>
    <w:uiPriority w:val="99"/>
    <w:unhideWhenUsed/>
    <w:rPr>
      <w:vertAlign w:val="superscript"/>
    </w:rPr>
  </w:style>
  <w:style w:type="paragraph" w:styleId="176">
    <w:name w:val="endnote text"/>
    <w:basedOn w:val="61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11"/>
    <w:uiPriority w:val="99"/>
    <w:semiHidden/>
    <w:unhideWhenUsed/>
    <w:rPr>
      <w:vertAlign w:val="superscript"/>
    </w:rPr>
  </w:style>
  <w:style w:type="paragraph" w:styleId="179">
    <w:name w:val="toc 1"/>
    <w:basedOn w:val="610"/>
    <w:next w:val="610"/>
    <w:uiPriority w:val="39"/>
    <w:unhideWhenUsed/>
    <w:pPr>
      <w:ind w:left="0" w:right="0" w:firstLine="0"/>
      <w:spacing w:after="57"/>
    </w:pPr>
  </w:style>
  <w:style w:type="paragraph" w:styleId="180">
    <w:name w:val="toc 2"/>
    <w:basedOn w:val="610"/>
    <w:next w:val="610"/>
    <w:uiPriority w:val="39"/>
    <w:unhideWhenUsed/>
    <w:pPr>
      <w:ind w:left="283" w:right="0" w:firstLine="0"/>
      <w:spacing w:after="57"/>
    </w:pPr>
  </w:style>
  <w:style w:type="paragraph" w:styleId="181">
    <w:name w:val="toc 3"/>
    <w:basedOn w:val="610"/>
    <w:next w:val="610"/>
    <w:uiPriority w:val="39"/>
    <w:unhideWhenUsed/>
    <w:pPr>
      <w:ind w:left="567" w:right="0" w:firstLine="0"/>
      <w:spacing w:after="57"/>
    </w:pPr>
  </w:style>
  <w:style w:type="paragraph" w:styleId="182">
    <w:name w:val="toc 4"/>
    <w:basedOn w:val="610"/>
    <w:next w:val="610"/>
    <w:uiPriority w:val="39"/>
    <w:unhideWhenUsed/>
    <w:pPr>
      <w:ind w:left="850" w:right="0" w:firstLine="0"/>
      <w:spacing w:after="57"/>
    </w:pPr>
  </w:style>
  <w:style w:type="paragraph" w:styleId="183">
    <w:name w:val="toc 5"/>
    <w:basedOn w:val="610"/>
    <w:next w:val="610"/>
    <w:uiPriority w:val="39"/>
    <w:unhideWhenUsed/>
    <w:pPr>
      <w:ind w:left="1134" w:right="0" w:firstLine="0"/>
      <w:spacing w:after="57"/>
    </w:pPr>
  </w:style>
  <w:style w:type="paragraph" w:styleId="184">
    <w:name w:val="toc 6"/>
    <w:basedOn w:val="610"/>
    <w:next w:val="610"/>
    <w:uiPriority w:val="39"/>
    <w:unhideWhenUsed/>
    <w:pPr>
      <w:ind w:left="1417" w:right="0" w:firstLine="0"/>
      <w:spacing w:after="57"/>
    </w:pPr>
  </w:style>
  <w:style w:type="paragraph" w:styleId="185">
    <w:name w:val="toc 7"/>
    <w:basedOn w:val="610"/>
    <w:next w:val="610"/>
    <w:uiPriority w:val="39"/>
    <w:unhideWhenUsed/>
    <w:pPr>
      <w:ind w:left="1701" w:right="0" w:firstLine="0"/>
      <w:spacing w:after="57"/>
    </w:pPr>
  </w:style>
  <w:style w:type="paragraph" w:styleId="186">
    <w:name w:val="toc 8"/>
    <w:basedOn w:val="610"/>
    <w:next w:val="610"/>
    <w:uiPriority w:val="39"/>
    <w:unhideWhenUsed/>
    <w:pPr>
      <w:ind w:left="1984" w:right="0" w:firstLine="0"/>
      <w:spacing w:after="57"/>
    </w:pPr>
  </w:style>
  <w:style w:type="paragraph" w:styleId="187">
    <w:name w:val="toc 9"/>
    <w:basedOn w:val="610"/>
    <w:next w:val="61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0"/>
    <w:next w:val="610"/>
    <w:uiPriority w:val="99"/>
    <w:unhideWhenUsed/>
    <w:pPr>
      <w:spacing w:after="0" w:afterAutospacing="0"/>
    </w:pPr>
  </w:style>
  <w:style w:type="paragraph" w:styleId="610" w:default="1">
    <w:name w:val="Normal"/>
    <w:qFormat/>
  </w:style>
  <w:style w:type="character" w:styleId="611" w:default="1">
    <w:name w:val="Default Paragraph Font"/>
    <w:uiPriority w:val="1"/>
    <w:semiHidden/>
    <w:unhideWhenUsed/>
  </w:style>
  <w:style w:type="table" w:styleId="612" w:default="1">
    <w:name w:val="Normal Table"/>
    <w:uiPriority w:val="99"/>
    <w:semiHidden/>
    <w:unhideWhenUsed/>
    <w:tblPr>
      <w:tblInd w:w="0" w:type="dxa"/>
      <w:tblCellMar>
        <w:left w:w="108" w:type="dxa"/>
        <w:top w:w="0" w:type="dxa"/>
        <w:right w:w="108" w:type="dxa"/>
        <w:bottom w:w="0" w:type="dxa"/>
      </w:tblCellMar>
    </w:tblPr>
  </w:style>
  <w:style w:type="numbering" w:styleId="613" w:default="1">
    <w:name w:val="No List"/>
    <w:uiPriority w:val="99"/>
    <w:semiHidden/>
    <w:unhideWhenUsed/>
  </w:style>
  <w:style w:type="paragraph" w:styleId="614">
    <w:name w:val="Normal (Web)"/>
    <w:basedOn w:val="610"/>
    <w:uiPriority w:val="99"/>
    <w:semiHidden/>
    <w:unhideWhenUsed/>
    <w:rPr>
      <w:rFonts w:ascii="Times New Roman" w:hAnsi="Times New Roman" w:cs="Times New Roman" w:eastAsia="Times New Roman"/>
      <w:lang w:eastAsia="fr-FR"/>
    </w:rPr>
    <w:pPr>
      <w:spacing w:after="100" w:afterAutospacing="1" w:before="100" w:beforeAutospacing="1"/>
    </w:pPr>
  </w:style>
  <w:style w:type="character" w:styleId="615" w:customStyle="1">
    <w:name w:val="apple-converted-space"/>
    <w:basedOn w:val="611"/>
  </w:style>
  <w:style w:type="character" w:styleId="616">
    <w:name w:val="Hyperlink"/>
    <w:basedOn w:val="611"/>
    <w:uiPriority w:val="99"/>
    <w:semiHidden/>
    <w:unhideWhenUsed/>
    <w:rPr>
      <w:color w:val="0000FF"/>
      <w:u w:val="single"/>
    </w:rPr>
  </w:style>
  <w:style w:type="paragraph" w:styleId="617">
    <w:name w:val="List Paragraph"/>
    <w:basedOn w:val="610"/>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nuage.ipmc.cnrs.fr/s/y5LpG25oQLGtsgX"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Pezet</dc:creator>
  <cp:keywords/>
  <dc:description/>
  <cp:lastModifiedBy>CAZARETH Julie</cp:lastModifiedBy>
  <cp:revision>12</cp:revision>
  <dcterms:created xsi:type="dcterms:W3CDTF">2021-12-08T08:27:00Z</dcterms:created>
  <dcterms:modified xsi:type="dcterms:W3CDTF">2021-12-13T13:12:19Z</dcterms:modified>
</cp:coreProperties>
</file>